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43" w:rsidRPr="00656D2C" w:rsidRDefault="00656D2C" w:rsidP="00656D2C">
      <w:pPr>
        <w:widowControl w:val="0"/>
        <w:tabs>
          <w:tab w:val="left" w:pos="4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656D2C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bookmarkStart w:id="0" w:name="_Hlk117511205"/>
    </w:p>
    <w:p w:rsidR="00F70431" w:rsidRPr="004C1E17" w:rsidRDefault="00F70431" w:rsidP="00656D2C">
      <w:pPr>
        <w:widowControl w:val="0"/>
        <w:tabs>
          <w:tab w:val="left" w:pos="46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C1E1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Pr="004C1E1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E69F4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набавке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бр.</w:t>
      </w:r>
      <w:r w:rsidR="00D5394B" w:rsidRPr="00D5394B">
        <w:rPr>
          <w:rFonts w:ascii="Times New Roman" w:eastAsia="Calibri" w:hAnsi="Times New Roman" w:cs="Times New Roman"/>
          <w:bCs/>
          <w:sz w:val="24"/>
          <w:szCs w:val="24"/>
        </w:rPr>
        <w:t>41</w:t>
      </w:r>
      <w:r w:rsidR="002A01F5" w:rsidRPr="00D5394B">
        <w:rPr>
          <w:rFonts w:ascii="Times New Roman" w:eastAsia="Calibri" w:hAnsi="Times New Roman" w:cs="Times New Roman"/>
          <w:bCs/>
          <w:sz w:val="24"/>
          <w:szCs w:val="24"/>
        </w:rPr>
        <w:t>/2022</w:t>
      </w:r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D5394B">
        <w:rPr>
          <w:rFonts w:ascii="Times New Roman" w:eastAsia="Calibri" w:hAnsi="Times New Roman" w:cs="Times New Roman"/>
          <w:bCs/>
          <w:sz w:val="24"/>
          <w:szCs w:val="24"/>
        </w:rPr>
        <w:t>услуге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21AAA" w:rsidRPr="00B21AA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B21AAA">
        <w:rPr>
          <w:rFonts w:ascii="Times New Roman" w:eastAsia="Calibri" w:hAnsi="Times New Roman" w:cs="Times New Roman"/>
          <w:bCs/>
          <w:sz w:val="24"/>
          <w:szCs w:val="24"/>
        </w:rPr>
        <w:t xml:space="preserve">АБАВКА </w:t>
      </w:r>
      <w:r w:rsidR="00D5394B">
        <w:rPr>
          <w:rFonts w:ascii="Times New Roman" w:eastAsia="Calibri" w:hAnsi="Times New Roman" w:cs="Times New Roman"/>
          <w:bCs/>
          <w:sz w:val="24"/>
          <w:szCs w:val="24"/>
        </w:rPr>
        <w:t>УСЛУГЕ СТРУЧНОГ ЛИЦА ЗА ПОСЛОВЕ БЕЗБЕДНОСТИ И ЗАШТИТЕ НА РАДУ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21A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Број текућег рачуна понуђача и назив банке: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B21AAA" w:rsidRPr="00B21AAA" w:rsidRDefault="00F70431" w:rsidP="00B21AAA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  <w:r w:rsidR="00B21AAA" w:rsidRPr="00B2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="00B21AAA" w:rsidRPr="00B2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:rsidR="00F70431" w:rsidRPr="004C1E17" w:rsidRDefault="00F70431" w:rsidP="003A44A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7126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:rsidTr="00B21AAA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B21AA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B21AA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:rsidTr="00B21AAA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B21AAA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B21AA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:rsidTr="00B21AAA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B21AAA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B21AA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:rsidR="00F70431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3A44AC" w:rsidRPr="004C1E17" w:rsidRDefault="003A44AC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ПОДАЦИ О ПОДИЗВОЂАЧУ</w:t>
      </w:r>
      <w:r w:rsidR="003A44AC" w:rsidRPr="003A44A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DB7C1A" w:rsidRDefault="00DB7C1A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F70431" w:rsidRPr="004C1E1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proofErr w:type="gram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4C1E17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њ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ју</w:t>
      </w:r>
      <w:proofErr w:type="spellEnd"/>
      <w:proofErr w:type="gram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C1E1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ћ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иђе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 w:rsidRPr="00B256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B256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B2569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256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ац</w:t>
      </w:r>
      <w:proofErr w:type="spellEnd"/>
      <w:r w:rsidRPr="00B256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пи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љ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ос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proofErr w:type="spellEnd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proofErr w:type="spellEnd"/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AE267D" w:rsidRDefault="00AE267D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DB7C1A" w:rsidRPr="00B2569D" w:rsidRDefault="00DB7C1A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tbl>
      <w:tblPr>
        <w:tblpPr w:leftFromText="180" w:rightFromText="180" w:vertAnchor="page" w:horzAnchor="margin" w:tblpY="507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297AD0" w:rsidRPr="004C1E17" w:rsidTr="003937E6">
        <w:trPr>
          <w:trHeight w:hRule="exact" w:val="1806"/>
        </w:trPr>
        <w:tc>
          <w:tcPr>
            <w:tcW w:w="4083" w:type="dxa"/>
            <w:shd w:val="clear" w:color="auto" w:fill="auto"/>
          </w:tcPr>
          <w:p w:rsidR="00297AD0" w:rsidRPr="004C1E17" w:rsidRDefault="00297AD0" w:rsidP="00297AD0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297AD0" w:rsidRPr="00D5394B" w:rsidRDefault="00D5394B" w:rsidP="00D5394B">
            <w:pPr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Комесаријат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избеглице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миграције</w:t>
            </w:r>
            <w:proofErr w:type="spellEnd"/>
            <w:r w:rsidR="0039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објекти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адресама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Центара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азил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937E6">
              <w:rPr>
                <w:rFonts w:ascii="Times New Roman" w:hAnsi="Times New Roman"/>
                <w:sz w:val="24"/>
                <w:szCs w:val="24"/>
              </w:rPr>
              <w:t>П</w:t>
            </w:r>
            <w:r w:rsidRPr="00D5394B">
              <w:rPr>
                <w:rFonts w:ascii="Times New Roman" w:hAnsi="Times New Roman"/>
                <w:sz w:val="24"/>
                <w:szCs w:val="24"/>
              </w:rPr>
              <w:t>рихватних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394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територији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4B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локације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адресе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објеката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спецификације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AD0" w:rsidRPr="004C1E17" w:rsidTr="00D5394B">
        <w:trPr>
          <w:trHeight w:hRule="exact" w:val="807"/>
        </w:trPr>
        <w:tc>
          <w:tcPr>
            <w:tcW w:w="4083" w:type="dxa"/>
            <w:shd w:val="clear" w:color="auto" w:fill="auto"/>
          </w:tcPr>
          <w:p w:rsidR="00297AD0" w:rsidRPr="004C1E17" w:rsidRDefault="00297AD0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proofErr w:type="gramEnd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 w:rsidR="00D5394B"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297AD0" w:rsidRPr="00297AD0" w:rsidRDefault="00297AD0" w:rsidP="00297AD0">
            <w:pPr>
              <w:widowControl w:val="0"/>
              <w:spacing w:before="69"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AD0" w:rsidRPr="00D31DA3" w:rsidRDefault="00D5394B" w:rsidP="00297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165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 31.12.2023.</w:t>
            </w:r>
            <w:proofErr w:type="gramEnd"/>
            <w:r w:rsidRPr="00331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652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="00D31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7AD0" w:rsidRPr="00473ADD" w:rsidRDefault="00297AD0" w:rsidP="00B2569D">
            <w:pPr>
              <w:widowControl w:val="0"/>
              <w:spacing w:after="0" w:line="240" w:lineRule="auto"/>
              <w:ind w:right="2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286" w:rsidRPr="004C1E17" w:rsidTr="00F60E0F">
        <w:trPr>
          <w:trHeight w:hRule="exact" w:val="3354"/>
        </w:trPr>
        <w:tc>
          <w:tcPr>
            <w:tcW w:w="4083" w:type="dxa"/>
            <w:shd w:val="clear" w:color="auto" w:fill="auto"/>
          </w:tcPr>
          <w:p w:rsidR="00381286" w:rsidRPr="004C1E17" w:rsidRDefault="00381286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1" w:type="dxa"/>
            <w:shd w:val="clear" w:color="auto" w:fill="auto"/>
          </w:tcPr>
          <w:p w:rsidR="00381286" w:rsidRPr="00381286" w:rsidRDefault="00381286" w:rsidP="0038128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Изабрани понуђач је дужан да фактуре изда у складу са Законом о електронском фактурисању („Сл. Гласник РС“ бр. 44/2021 и 129/2021).</w:t>
            </w:r>
          </w:p>
          <w:p w:rsidR="00381286" w:rsidRPr="00381286" w:rsidRDefault="00381286" w:rsidP="0038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ће плаћање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</w:t>
            </w:r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>пружене</w:t>
            </w:r>
            <w:proofErr w:type="spellEnd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94B"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року од </w:t>
            </w:r>
            <w:r w:rsidRPr="00F60E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највише </w:t>
            </w:r>
            <w:r w:rsidR="00CB6E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Pr="00F60E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F6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0F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е-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фактуре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Понуђача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286" w:rsidRPr="00381286" w:rsidRDefault="00381286" w:rsidP="0038128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измене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текућег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банке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Понуђач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дужан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благовремено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Наручиоцу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извршеним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изменама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ће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бити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саставни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део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7E6">
              <w:rPr>
                <w:rFonts w:ascii="Times New Roman" w:eastAsia="Calibri" w:hAnsi="Times New Roman" w:cs="Times New Roman"/>
                <w:sz w:val="24"/>
                <w:szCs w:val="24"/>
              </w:rPr>
              <w:t>Уговора</w:t>
            </w:r>
            <w:proofErr w:type="spellEnd"/>
            <w:r w:rsidR="00D31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286" w:rsidRPr="004C1E17" w:rsidRDefault="00381286" w:rsidP="00F60E0F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97AD0" w:rsidRPr="004C1E17" w:rsidTr="00297AD0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297AD0" w:rsidRPr="004C1E17" w:rsidRDefault="00297AD0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AD0" w:rsidRPr="004C1E17" w:rsidRDefault="00297AD0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297AD0" w:rsidRPr="004C1E17" w:rsidRDefault="00297AD0" w:rsidP="00297AD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97AD0" w:rsidRPr="004C1E17" w:rsidRDefault="00B2569D" w:rsidP="00297AD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7AD0"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</w:t>
            </w:r>
          </w:p>
          <w:p w:rsidR="00297AD0" w:rsidRPr="004C1E17" w:rsidRDefault="00297AD0" w:rsidP="00297AD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7E3A" w:rsidRDefault="00107E3A" w:rsidP="00107E3A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67D" w:rsidRPr="00AE267D" w:rsidRDefault="00AE267D" w:rsidP="00AE267D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67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ПРЕДМЕТА НАБАВКЕ</w:t>
      </w:r>
    </w:p>
    <w:p w:rsidR="00107E3A" w:rsidRDefault="00107E3A" w:rsidP="00DB7C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B2569D" w:rsidRDefault="00B2569D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D5394B" w:rsidRDefault="00D5394B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F60E0F" w:rsidRDefault="00F60E0F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F60E0F" w:rsidRDefault="00F60E0F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F60E0F" w:rsidRDefault="00F60E0F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D5394B" w:rsidRDefault="00D5394B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AE267D" w:rsidRDefault="00AE267D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107E3A" w:rsidRDefault="00107E3A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</w:rPr>
      </w:pPr>
      <w:r w:rsidRPr="00107E3A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СПЕЦИФИКАЦИЈА</w:t>
      </w:r>
      <w:r w:rsidRPr="00107E3A">
        <w:rPr>
          <w:rFonts w:ascii="Times New Roman" w:eastAsia="Times New Roman" w:hAnsi="Times New Roman" w:cs="Times New Roman"/>
          <w:b/>
          <w:bCs/>
        </w:rPr>
        <w:t xml:space="preserve"> СА СТРУКТУРОМ ПОНУЂЕНЕ ЦЕНЕ</w:t>
      </w:r>
    </w:p>
    <w:p w:rsidR="00AE267D" w:rsidRDefault="00AE267D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</w:rPr>
      </w:pPr>
    </w:p>
    <w:p w:rsidR="00AE267D" w:rsidRDefault="00F60E0F" w:rsidP="00F60E0F">
      <w:pPr>
        <w:widowControl w:val="0"/>
        <w:spacing w:before="72" w:after="0" w:line="240" w:lineRule="auto"/>
        <w:ind w:left="2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Назив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услуге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Услуге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стручног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послове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здравља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раду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складу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техничком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спецификацијом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која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је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саставни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део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понуде</w:t>
      </w:r>
      <w:proofErr w:type="spellEnd"/>
    </w:p>
    <w:p w:rsidR="00F60E0F" w:rsidRPr="00F60E0F" w:rsidRDefault="00F60E0F" w:rsidP="00F60E0F">
      <w:pPr>
        <w:widowControl w:val="0"/>
        <w:spacing w:before="72" w:after="0" w:line="240" w:lineRule="auto"/>
        <w:ind w:left="2"/>
        <w:rPr>
          <w:rFonts w:ascii="Times New Roman" w:eastAsia="Times New Roman" w:hAnsi="Times New Roman" w:cs="Times New Roman"/>
          <w:b/>
          <w:bCs/>
          <w:i/>
        </w:rPr>
      </w:pP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Понуђач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је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дужан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да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попуни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укупну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цену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F60E0F">
        <w:rPr>
          <w:rFonts w:ascii="Times New Roman" w:eastAsia="Times New Roman" w:hAnsi="Times New Roman" w:cs="Times New Roman"/>
          <w:b/>
          <w:bCs/>
          <w:i/>
        </w:rPr>
        <w:t>без</w:t>
      </w:r>
      <w:proofErr w:type="spellEnd"/>
      <w:r w:rsidRPr="00F60E0F">
        <w:rPr>
          <w:rFonts w:ascii="Times New Roman" w:eastAsia="Times New Roman" w:hAnsi="Times New Roman" w:cs="Times New Roman"/>
          <w:b/>
          <w:bCs/>
          <w:i/>
        </w:rPr>
        <w:t xml:space="preserve"> ПДВ-а</w:t>
      </w:r>
      <w:r w:rsidRPr="00F60E0F">
        <w:rPr>
          <w:rFonts w:ascii="Times New Roman" w:eastAsia="Times New Roman" w:hAnsi="Times New Roman" w:cs="Times New Roman"/>
          <w:b/>
          <w:bCs/>
          <w:i/>
          <w:lang w:val="sr-Cyrl-RS"/>
        </w:rPr>
        <w:t xml:space="preserve"> и са </w:t>
      </w:r>
      <w:r w:rsidRPr="00F60E0F">
        <w:rPr>
          <w:rFonts w:ascii="Times New Roman" w:eastAsia="Times New Roman" w:hAnsi="Times New Roman" w:cs="Times New Roman"/>
          <w:b/>
          <w:bCs/>
          <w:i/>
        </w:rPr>
        <w:t>ПДВ-</w:t>
      </w:r>
      <w:r w:rsidRPr="00F60E0F">
        <w:rPr>
          <w:rFonts w:ascii="Times New Roman" w:eastAsia="Times New Roman" w:hAnsi="Times New Roman" w:cs="Times New Roman"/>
          <w:b/>
          <w:bCs/>
          <w:i/>
          <w:lang w:val="sr-Cyrl-RS"/>
        </w:rPr>
        <w:t>ом</w:t>
      </w:r>
      <w:r w:rsidRPr="00F60E0F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107E3A" w:rsidRPr="00107E3A" w:rsidRDefault="00107E3A" w:rsidP="00107E3A">
      <w:pPr>
        <w:widowControl w:val="0"/>
        <w:spacing w:after="0" w:line="240" w:lineRule="auto"/>
        <w:ind w:left="4701" w:right="5712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107E3A" w:rsidRPr="00107E3A" w:rsidRDefault="00107E3A" w:rsidP="00107E3A">
      <w:pPr>
        <w:widowControl w:val="0"/>
        <w:spacing w:before="8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244"/>
      </w:tblGrid>
      <w:tr w:rsidR="00107E3A" w:rsidRPr="00107E3A" w:rsidTr="00A012EC">
        <w:trPr>
          <w:trHeight w:hRule="exact" w:val="6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6D4A88" w:rsidP="00107E3A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r w:rsidR="003937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ђ</w:t>
            </w:r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3937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 w:rsidR="003937E6"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proofErr w:type="spellStart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</w:t>
            </w:r>
            <w:r w:rsidR="003937E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В</w:t>
            </w:r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а (</w:t>
            </w:r>
            <w:proofErr w:type="spellStart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дин</w:t>
            </w:r>
            <w:proofErr w:type="spellEnd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месечном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нивоу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107E3A" w:rsidP="00107E3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07E3A" w:rsidRPr="00107E3A" w:rsidTr="003937E6">
        <w:trPr>
          <w:trHeight w:hRule="exact" w:val="12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6D4A88" w:rsidP="00107E3A">
            <w:pPr>
              <w:widowControl w:val="0"/>
              <w:spacing w:before="1" w:after="0" w:line="276" w:lineRule="exact"/>
              <w:ind w:left="102" w:righ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r w:rsidR="003937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ђ</w:t>
            </w:r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3937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 w:rsidR="003937E6"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proofErr w:type="spellStart"/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</w:t>
            </w:r>
            <w:r w:rsidR="003937E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В</w:t>
            </w:r>
            <w:r w:rsidR="003937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proofErr w:type="spellEnd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дин</w:t>
            </w:r>
            <w:proofErr w:type="spellEnd"/>
            <w:r w:rsidR="003937E6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месечном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нивоу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107E3A" w:rsidP="00107E3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07E3A" w:rsidRPr="00107E3A" w:rsidTr="00AE267D">
        <w:trPr>
          <w:trHeight w:hRule="exact" w:val="12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6D4A88" w:rsidP="00107E3A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Укупна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понуђена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цена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без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ПДВ-а (</w:t>
            </w: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дин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F60E0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за</w:t>
            </w:r>
            <w:proofErr w:type="spellEnd"/>
            <w:r w:rsidR="00F60E0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F60E0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период</w:t>
            </w:r>
            <w:proofErr w:type="spellEnd"/>
            <w:r w:rsidR="00F60E0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F60E0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од</w:t>
            </w:r>
            <w:proofErr w:type="spellEnd"/>
            <w:r w:rsidR="00F60E0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12 </w:t>
            </w:r>
            <w:proofErr w:type="spellStart"/>
            <w:r w:rsidR="00F60E0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месеци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107E3A" w:rsidP="0010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4A88" w:rsidRPr="00107E3A" w:rsidTr="006D4A88">
        <w:trPr>
          <w:trHeight w:hRule="exact" w:val="12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88" w:rsidRPr="006D4A88" w:rsidRDefault="006D4A88" w:rsidP="002E4DB7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Укупна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понуђена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цена</w:t>
            </w:r>
            <w:proofErr w:type="spellEnd"/>
            <w:r w:rsidRPr="006D4A8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  <w:proofErr w:type="spellEnd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</w:t>
            </w:r>
            <w:proofErr w:type="spellStart"/>
            <w:r w:rsidR="00F60E0F">
              <w:rPr>
                <w:rFonts w:ascii="Times New Roman" w:hAnsi="Times New Roman"/>
                <w:b/>
                <w:bCs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88" w:rsidRPr="006D4A88" w:rsidRDefault="006D4A88" w:rsidP="006D4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D4A88" w:rsidRPr="00107E3A" w:rsidTr="00F60E0F">
        <w:trPr>
          <w:trHeight w:hRule="exact" w:val="131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88" w:rsidRPr="00107E3A" w:rsidRDefault="006D4A88" w:rsidP="006D4A88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107E3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ОК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F60E0F">
              <w:rPr>
                <w:rFonts w:ascii="Times New Roman" w:eastAsia="Times New Roman" w:hAnsi="Times New Roman" w:cs="Times New Roman"/>
                <w:b/>
                <w:bCs/>
              </w:rPr>
              <w:t>ПРУЖАЊА УСЛУГЕ:</w:t>
            </w:r>
          </w:p>
          <w:p w:rsidR="006D4A88" w:rsidRPr="00107E3A" w:rsidRDefault="006D4A88" w:rsidP="006D4A88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88" w:rsidRPr="00F60E0F" w:rsidRDefault="006D4A88" w:rsidP="006D4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07E3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ђ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пружa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динамици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наведеној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техничкој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спецификацији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саставни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r w:rsidRPr="00107E3A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F60E0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к</w:t>
            </w:r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F60E0F" w:rsidRPr="00F60E0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од</w:t>
            </w:r>
            <w:proofErr w:type="spellEnd"/>
            <w:r w:rsidR="00F60E0F" w:rsidRPr="00F60E0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F60E0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sr-Cyrl-RS"/>
              </w:rPr>
              <w:t>____</w:t>
            </w:r>
            <w:r w:rsidRPr="00F60E0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(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F60E0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у</w:t>
            </w:r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пет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F60E0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 w:rsidRPr="00F60E0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 w:rsidRPr="00F60E0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proofErr w:type="spellStart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пријема</w:t>
            </w:r>
            <w:proofErr w:type="spellEnd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писаног</w:t>
            </w:r>
            <w:proofErr w:type="spellEnd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  <w:proofErr w:type="spellEnd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0F"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Наручиоца</w:t>
            </w:r>
            <w:proofErr w:type="spellEnd"/>
            <w:r w:rsid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60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сопственим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превозом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трошку</w:t>
            </w:r>
            <w:proofErr w:type="spellEnd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60E0F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понуђача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RS"/>
              </w:rPr>
              <w:t>.</w:t>
            </w:r>
            <w:r w:rsidR="00F6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6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Рок</w:t>
            </w:r>
            <w:proofErr w:type="spellEnd"/>
            <w:r w:rsidR="00F6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6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трајања</w:t>
            </w:r>
            <w:proofErr w:type="spellEnd"/>
            <w:r w:rsidR="00F6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6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Уговора</w:t>
            </w:r>
            <w:proofErr w:type="spellEnd"/>
            <w:r w:rsidR="00F6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12 месеци.</w:t>
            </w:r>
          </w:p>
        </w:tc>
      </w:tr>
    </w:tbl>
    <w:p w:rsidR="00107E3A" w:rsidRPr="00107E3A" w:rsidRDefault="00107E3A" w:rsidP="00107E3A">
      <w:pPr>
        <w:widowControl w:val="0"/>
        <w:tabs>
          <w:tab w:val="left" w:pos="841"/>
          <w:tab w:val="left" w:pos="6325"/>
        </w:tabs>
        <w:spacing w:after="0" w:line="242" w:lineRule="auto"/>
        <w:ind w:left="502"/>
        <w:jc w:val="both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Calibri" w:eastAsia="Times New Roman" w:hAnsi="Calibri" w:cs="Times New Roman"/>
          <w:lang w:val="sr-Cyrl-RS"/>
        </w:rPr>
        <w:t xml:space="preserve">  </w:t>
      </w:r>
    </w:p>
    <w:p w:rsidR="00107E3A" w:rsidRPr="00107E3A" w:rsidRDefault="00107E3A" w:rsidP="00107E3A">
      <w:pPr>
        <w:widowControl w:val="0"/>
        <w:numPr>
          <w:ilvl w:val="0"/>
          <w:numId w:val="11"/>
        </w:numPr>
        <w:tabs>
          <w:tab w:val="left" w:pos="841"/>
          <w:tab w:val="left" w:pos="6325"/>
        </w:tabs>
        <w:spacing w:after="0" w:line="242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Times New Roman" w:eastAsia="Times New Roman" w:hAnsi="Times New Roman" w:cs="Times New Roman"/>
          <w:lang w:val="sr-Cyrl-RS"/>
        </w:rPr>
        <w:t>Цене су фиксне и не могу се мењати до завршетка посла.</w:t>
      </w:r>
    </w:p>
    <w:p w:rsidR="00107E3A" w:rsidRPr="00107E3A" w:rsidRDefault="00107E3A" w:rsidP="00107E3A">
      <w:pPr>
        <w:widowControl w:val="0"/>
        <w:numPr>
          <w:ilvl w:val="0"/>
          <w:numId w:val="11"/>
        </w:numPr>
        <w:tabs>
          <w:tab w:val="left" w:pos="841"/>
          <w:tab w:val="left" w:pos="6325"/>
        </w:tabs>
        <w:spacing w:after="0" w:line="242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Times New Roman" w:eastAsia="Times New Roman" w:hAnsi="Times New Roman" w:cs="Times New Roman"/>
          <w:szCs w:val="24"/>
          <w:lang w:val="sr-Cyrl-RS"/>
        </w:rPr>
        <w:t xml:space="preserve"> У</w:t>
      </w:r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цену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морају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бити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урачунати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сви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трошкови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>.</w:t>
      </w:r>
    </w:p>
    <w:p w:rsidR="00107E3A" w:rsidRPr="00107E3A" w:rsidRDefault="00107E3A" w:rsidP="00107E3A">
      <w:pPr>
        <w:widowControl w:val="0"/>
        <w:spacing w:before="69" w:after="0" w:line="240" w:lineRule="auto"/>
        <w:ind w:left="122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Times New Roman" w:eastAsia="Times New Roman" w:hAnsi="Times New Roman" w:cs="Times New Roman"/>
          <w:lang w:val="sr-Cyrl-RS"/>
        </w:rPr>
        <w:t xml:space="preserve">  </w:t>
      </w:r>
    </w:p>
    <w:p w:rsidR="00F70431" w:rsidRPr="009F66A6" w:rsidRDefault="00107E3A" w:rsidP="009F66A6">
      <w:pPr>
        <w:widowControl w:val="0"/>
        <w:spacing w:before="69" w:after="0" w:line="240" w:lineRule="auto"/>
        <w:ind w:left="122"/>
        <w:rPr>
          <w:rFonts w:ascii="Times New Roman" w:eastAsia="Times New Roman" w:hAnsi="Times New Roman" w:cs="Times New Roman"/>
          <w:b/>
          <w:bCs/>
        </w:rPr>
      </w:pPr>
      <w:bookmarkStart w:id="2" w:name="_Hlk120002642"/>
      <w:r w:rsidRPr="00107E3A">
        <w:rPr>
          <w:rFonts w:ascii="Times New Roman" w:eastAsia="Times New Roman" w:hAnsi="Times New Roman" w:cs="Times New Roman"/>
          <w:lang w:val="sr-Cyrl-RS"/>
        </w:rPr>
        <w:t xml:space="preserve">  </w:t>
      </w:r>
      <w:bookmarkEnd w:id="2"/>
      <w:r w:rsidR="00DB7C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 w:rsidR="00DB7C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 w:rsidR="00DB7C1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</w:p>
    <w:p w:rsidR="00DB7C1A" w:rsidRDefault="00223360" w:rsidP="00F70431">
      <w:pPr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</w:t>
      </w:r>
      <w:proofErr w:type="spellStart"/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Датум</w:t>
      </w:r>
      <w:proofErr w:type="spellEnd"/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297A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</w:t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ПОНУЂАЧ</w:t>
      </w:r>
      <w:r w:rsidR="00297A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</w:p>
    <w:p w:rsidR="00297AD0" w:rsidRDefault="00297AD0" w:rsidP="00F70431">
      <w:pPr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07E3A" w:rsidRPr="00107E3A" w:rsidRDefault="00297AD0" w:rsidP="00297AD0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2233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___________________</w:t>
      </w:r>
      <w:bookmarkEnd w:id="0"/>
    </w:p>
    <w:p w:rsidR="00297AD0" w:rsidRPr="00297AD0" w:rsidRDefault="00297AD0" w:rsidP="00297AD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proofErr w:type="spellEnd"/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7AD0" w:rsidRPr="00297AD0" w:rsidRDefault="00297AD0" w:rsidP="00297A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и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потпише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чиме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CS"/>
        </w:rPr>
        <w:t>п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отврђује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тачни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подаци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који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обрасцу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наведени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Уколико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подносе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заједничку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потписују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одреди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једног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233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оји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ће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попунити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потписати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уде</w:t>
      </w:r>
    </w:p>
    <w:p w:rsidR="00D961FD" w:rsidRPr="004C1E17" w:rsidRDefault="00D961FD" w:rsidP="00C27B75">
      <w:pPr>
        <w:rPr>
          <w:rFonts w:ascii="Times New Roman" w:hAnsi="Times New Roman" w:cs="Times New Roman"/>
          <w:sz w:val="24"/>
          <w:szCs w:val="24"/>
        </w:rPr>
      </w:pPr>
    </w:p>
    <w:sectPr w:rsidR="00D961FD" w:rsidRPr="004C1E17" w:rsidSect="00F7043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07" w:rsidRDefault="00434707">
      <w:pPr>
        <w:spacing w:after="0" w:line="240" w:lineRule="auto"/>
      </w:pPr>
      <w:r>
        <w:separator/>
      </w:r>
    </w:p>
  </w:endnote>
  <w:endnote w:type="continuationSeparator" w:id="0">
    <w:p w:rsidR="00434707" w:rsidRDefault="004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0338C3" wp14:editId="3EA56296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338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kqw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sBUIyIt6J8AuVKAcoC&#10;ecK4A6MW8jtGPYyOFKtveyIpRs17Duo3c2Yy5GRsJ4PwAq6mWGM0mms9zqN9J9muBuTxfXFxCy+k&#10;Yla9z1kc3xWMA0viOLrMvDn/t17PA3b1Cw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Cg9jTk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C3F4D9" wp14:editId="1D95194D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3F4D9" id="Text Box 4" o:spid="_x0000_s1027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ybrwIAAK8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DgJVyb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07" w:rsidRDefault="00434707">
      <w:pPr>
        <w:spacing w:after="0" w:line="240" w:lineRule="auto"/>
      </w:pPr>
      <w:r>
        <w:separator/>
      </w:r>
    </w:p>
  </w:footnote>
  <w:footnote w:type="continuationSeparator" w:id="0">
    <w:p w:rsidR="00434707" w:rsidRDefault="0043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279"/>
    <w:multiLevelType w:val="hybridMultilevel"/>
    <w:tmpl w:val="AD542166"/>
    <w:lvl w:ilvl="0" w:tplc="AD309D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1"/>
    <w:rsid w:val="00107E3A"/>
    <w:rsid w:val="001D31B1"/>
    <w:rsid w:val="00223360"/>
    <w:rsid w:val="00272E62"/>
    <w:rsid w:val="00297AD0"/>
    <w:rsid w:val="002A01F5"/>
    <w:rsid w:val="00333203"/>
    <w:rsid w:val="00351F9E"/>
    <w:rsid w:val="003643BE"/>
    <w:rsid w:val="0037744A"/>
    <w:rsid w:val="00381286"/>
    <w:rsid w:val="003937E6"/>
    <w:rsid w:val="003A44AC"/>
    <w:rsid w:val="00414609"/>
    <w:rsid w:val="00434707"/>
    <w:rsid w:val="00473ADD"/>
    <w:rsid w:val="004C1E17"/>
    <w:rsid w:val="004D7114"/>
    <w:rsid w:val="00656D2C"/>
    <w:rsid w:val="006B63CC"/>
    <w:rsid w:val="006D4A88"/>
    <w:rsid w:val="00763B9E"/>
    <w:rsid w:val="00980C1E"/>
    <w:rsid w:val="00991538"/>
    <w:rsid w:val="009C10C3"/>
    <w:rsid w:val="009F66A6"/>
    <w:rsid w:val="00AE267D"/>
    <w:rsid w:val="00B21AAA"/>
    <w:rsid w:val="00B2569D"/>
    <w:rsid w:val="00BE641F"/>
    <w:rsid w:val="00C27B75"/>
    <w:rsid w:val="00CB6E38"/>
    <w:rsid w:val="00CC4E43"/>
    <w:rsid w:val="00D31DA3"/>
    <w:rsid w:val="00D5394B"/>
    <w:rsid w:val="00D961FD"/>
    <w:rsid w:val="00DB7C1A"/>
    <w:rsid w:val="00EA791C"/>
    <w:rsid w:val="00F60E0F"/>
    <w:rsid w:val="00F70431"/>
    <w:rsid w:val="00F8015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2672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7043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107E3A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07E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aliases w:val="Justified"/>
    <w:basedOn w:val="Normal"/>
    <w:uiPriority w:val="1"/>
    <w:qFormat/>
    <w:rsid w:val="00107E3A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0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Jelena Sikic</cp:lastModifiedBy>
  <cp:revision>3</cp:revision>
  <cp:lastPrinted>2022-12-09T12:58:00Z</cp:lastPrinted>
  <dcterms:created xsi:type="dcterms:W3CDTF">2022-12-09T11:15:00Z</dcterms:created>
  <dcterms:modified xsi:type="dcterms:W3CDTF">2022-12-09T13:00:00Z</dcterms:modified>
</cp:coreProperties>
</file>