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0A3B" w:rsidRDefault="00185374">
      <w:pPr>
        <w:jc w:val="center"/>
        <w:rPr>
          <w:b/>
          <w:sz w:val="28"/>
          <w:szCs w:val="28"/>
        </w:rPr>
      </w:pPr>
      <w:r>
        <w:rPr>
          <w:b/>
          <w:sz w:val="28"/>
          <w:szCs w:val="28"/>
        </w:rPr>
        <w:t>CONTRACT NOTICE</w:t>
      </w:r>
    </w:p>
    <w:p w14:paraId="00000002" w14:textId="77777777" w:rsidR="00C50A3B" w:rsidRDefault="00C50A3B">
      <w:pPr>
        <w:spacing w:before="0" w:after="0"/>
        <w:rPr>
          <w:b/>
          <w:sz w:val="22"/>
          <w:szCs w:val="22"/>
          <w:u w:val="single"/>
        </w:rPr>
      </w:pPr>
    </w:p>
    <w:p w14:paraId="00000003" w14:textId="041DB05B" w:rsidR="00C50A3B" w:rsidRPr="00CF5BB6" w:rsidRDefault="00185374">
      <w:pPr>
        <w:spacing w:before="0" w:after="0"/>
        <w:rPr>
          <w:b/>
          <w:sz w:val="22"/>
          <w:szCs w:val="22"/>
          <w:u w:val="single"/>
        </w:rPr>
      </w:pPr>
      <w:r w:rsidRPr="00CF5BB6">
        <w:rPr>
          <w:b/>
          <w:sz w:val="22"/>
          <w:szCs w:val="22"/>
          <w:u w:val="single"/>
        </w:rPr>
        <w:t>CALL FOR TENDER: GENERAL INFORMATION</w:t>
      </w:r>
      <w:r w:rsidRPr="00CF5BB6">
        <w:rPr>
          <w:b/>
          <w:sz w:val="22"/>
          <w:szCs w:val="22"/>
          <w:u w:val="single"/>
        </w:rPr>
        <w:br/>
      </w:r>
      <w:r w:rsidRPr="00CF5BB6">
        <w:rPr>
          <w:sz w:val="22"/>
          <w:szCs w:val="22"/>
          <w:u w:val="single"/>
        </w:rPr>
        <w:br/>
      </w:r>
      <w:r w:rsidRPr="00CF5BB6">
        <w:rPr>
          <w:b/>
          <w:sz w:val="22"/>
          <w:szCs w:val="22"/>
          <w:u w:val="single"/>
        </w:rPr>
        <w:t>II.1.1) Information Notice Title</w:t>
      </w:r>
      <w:r w:rsidRPr="00CF5BB6">
        <w:rPr>
          <w:b/>
          <w:sz w:val="22"/>
          <w:szCs w:val="22"/>
        </w:rPr>
        <w:t xml:space="preserve">: </w:t>
      </w:r>
      <w:r w:rsidRPr="00CF5BB6">
        <w:rPr>
          <w:sz w:val="22"/>
          <w:szCs w:val="22"/>
        </w:rPr>
        <w:t xml:space="preserve">Provision of </w:t>
      </w:r>
      <w:r w:rsidR="008D5BC6">
        <w:rPr>
          <w:sz w:val="22"/>
          <w:szCs w:val="22"/>
        </w:rPr>
        <w:t>m</w:t>
      </w:r>
      <w:r w:rsidR="008D5BC6" w:rsidRPr="008D5BC6">
        <w:rPr>
          <w:sz w:val="22"/>
          <w:szCs w:val="22"/>
        </w:rPr>
        <w:t>eals for the employees of SCRM engaged in the field work</w:t>
      </w:r>
      <w:r w:rsidRPr="00CF5BB6">
        <w:rPr>
          <w:b/>
          <w:sz w:val="20"/>
          <w:szCs w:val="20"/>
        </w:rPr>
        <w:t xml:space="preserve"> </w:t>
      </w:r>
      <w:r w:rsidR="00E5386D">
        <w:rPr>
          <w:b/>
          <w:sz w:val="20"/>
          <w:szCs w:val="20"/>
        </w:rPr>
        <w:t>-AC/RC</w:t>
      </w:r>
      <w:r w:rsidRPr="00CF5BB6">
        <w:rPr>
          <w:sz w:val="22"/>
          <w:szCs w:val="22"/>
          <w:u w:val="single"/>
        </w:rPr>
        <w:br/>
      </w:r>
      <w:r w:rsidRPr="00CF5BB6">
        <w:rPr>
          <w:b/>
          <w:sz w:val="22"/>
          <w:szCs w:val="22"/>
          <w:u w:val="single"/>
        </w:rPr>
        <w:t>II.1.1) Information Notice Reference Number:</w:t>
      </w:r>
      <w:r w:rsidRPr="00CF5BB6">
        <w:rPr>
          <w:sz w:val="22"/>
          <w:szCs w:val="22"/>
          <w:u w:val="single"/>
        </w:rPr>
        <w:t xml:space="preserve"> </w:t>
      </w:r>
      <w:r w:rsidR="00AB2482" w:rsidRPr="00CF5BB6">
        <w:rPr>
          <w:sz w:val="22"/>
          <w:szCs w:val="22"/>
          <w:lang w:val="sr-Cyrl-RS"/>
        </w:rPr>
        <w:t>435-352</w:t>
      </w:r>
      <w:r w:rsidRPr="00CF5BB6">
        <w:rPr>
          <w:sz w:val="22"/>
          <w:szCs w:val="22"/>
        </w:rPr>
        <w:t>/</w:t>
      </w:r>
      <w:r w:rsidR="00AB2482" w:rsidRPr="00CF5BB6">
        <w:rPr>
          <w:sz w:val="22"/>
          <w:szCs w:val="22"/>
          <w:lang w:val="sr-Cyrl-RS"/>
        </w:rPr>
        <w:t>2024-</w:t>
      </w:r>
      <w:r w:rsidR="00D90FBE">
        <w:rPr>
          <w:sz w:val="22"/>
          <w:szCs w:val="22"/>
          <w:lang w:val="sr-Latn-RS"/>
        </w:rPr>
        <w:t>16</w:t>
      </w:r>
      <w:r w:rsidRPr="00CF5BB6">
        <w:rPr>
          <w:sz w:val="22"/>
          <w:szCs w:val="22"/>
        </w:rPr>
        <w:br/>
      </w:r>
      <w:r w:rsidRPr="00CF5BB6">
        <w:rPr>
          <w:sz w:val="22"/>
          <w:szCs w:val="22"/>
        </w:rPr>
        <w:br/>
      </w:r>
      <w:r w:rsidRPr="00CF5BB6">
        <w:rPr>
          <w:b/>
          <w:sz w:val="22"/>
          <w:szCs w:val="22"/>
          <w:u w:val="single"/>
        </w:rPr>
        <w:t>IV.2.1) Previous publication concerning this procedure</w:t>
      </w:r>
    </w:p>
    <w:p w14:paraId="00000004" w14:textId="77777777" w:rsidR="00C50A3B" w:rsidRPr="00CF5BB6" w:rsidRDefault="00C50A3B">
      <w:pPr>
        <w:spacing w:before="0" w:after="0"/>
        <w:rPr>
          <w:sz w:val="22"/>
          <w:szCs w:val="22"/>
        </w:rPr>
      </w:pPr>
    </w:p>
    <w:p w14:paraId="00000005" w14:textId="78DC14DF" w:rsidR="00C50A3B" w:rsidRPr="00CF5BB6" w:rsidRDefault="00185374">
      <w:pPr>
        <w:spacing w:before="0" w:after="0"/>
        <w:rPr>
          <w:b/>
          <w:sz w:val="22"/>
          <w:szCs w:val="22"/>
          <w:u w:val="single"/>
        </w:rPr>
      </w:pPr>
      <w:r w:rsidRPr="00CF5BB6">
        <w:rPr>
          <w:sz w:val="22"/>
          <w:szCs w:val="22"/>
        </w:rPr>
        <w:t xml:space="preserve">Service contract prior information notice from </w:t>
      </w:r>
      <w:r w:rsidR="00DE7CA8" w:rsidRPr="00CF5BB6">
        <w:rPr>
          <w:sz w:val="22"/>
          <w:szCs w:val="22"/>
        </w:rPr>
        <w:t>28.03.2022</w:t>
      </w:r>
      <w:r w:rsidRPr="00CF5BB6">
        <w:rPr>
          <w:sz w:val="22"/>
          <w:szCs w:val="22"/>
        </w:rPr>
        <w:t xml:space="preserve"> at the following address:</w:t>
      </w:r>
      <w:r w:rsidRPr="00CF5BB6">
        <w:rPr>
          <w:sz w:val="22"/>
          <w:szCs w:val="22"/>
          <w:u w:val="single"/>
        </w:rPr>
        <w:t xml:space="preserve"> </w:t>
      </w:r>
      <w:hyperlink r:id="rId8" w:history="1">
        <w:r w:rsidR="00DE7CA8" w:rsidRPr="00CF5BB6">
          <w:rPr>
            <w:rStyle w:val="Hyperlink"/>
            <w:i/>
            <w:sz w:val="22"/>
            <w:szCs w:val="22"/>
          </w:rPr>
          <w:t>https://kirs.gov.rs/cir/javne-nabavke/otvoreni-postupak/0</w:t>
        </w:r>
      </w:hyperlink>
      <w:r w:rsidRPr="00CF5BB6">
        <w:rPr>
          <w:i/>
          <w:sz w:val="22"/>
          <w:szCs w:val="22"/>
          <w:u w:val="single"/>
        </w:rPr>
        <w:t xml:space="preserve"> </w:t>
      </w:r>
      <w:r w:rsidRPr="00CF5BB6">
        <w:rPr>
          <w:b/>
          <w:sz w:val="22"/>
          <w:szCs w:val="22"/>
        </w:rPr>
        <w:br/>
      </w:r>
    </w:p>
    <w:p w14:paraId="00000006" w14:textId="77777777" w:rsidR="00C50A3B" w:rsidRPr="00CF5BB6" w:rsidRDefault="00185374">
      <w:pPr>
        <w:spacing w:before="0" w:after="0"/>
        <w:rPr>
          <w:b/>
          <w:sz w:val="22"/>
          <w:szCs w:val="22"/>
          <w:u w:val="single"/>
        </w:rPr>
      </w:pPr>
      <w:r w:rsidRPr="00CF5BB6">
        <w:rPr>
          <w:b/>
          <w:sz w:val="22"/>
          <w:szCs w:val="22"/>
          <w:u w:val="single"/>
        </w:rPr>
        <w:t>II.1.6) Information about lots</w:t>
      </w:r>
    </w:p>
    <w:p w14:paraId="00000007" w14:textId="3F83B446" w:rsidR="00C50A3B" w:rsidRPr="00CF5BB6" w:rsidRDefault="00185374">
      <w:pPr>
        <w:rPr>
          <w:sz w:val="22"/>
          <w:szCs w:val="22"/>
        </w:rPr>
      </w:pPr>
      <w:r w:rsidRPr="00CF5BB6">
        <w:rPr>
          <w:sz w:val="22"/>
          <w:szCs w:val="22"/>
        </w:rPr>
        <w:t>This contract is divided into lots:</w:t>
      </w:r>
      <w:r w:rsidRPr="00CF5BB6">
        <w:rPr>
          <w:b/>
          <w:sz w:val="22"/>
          <w:szCs w:val="22"/>
        </w:rPr>
        <w:t xml:space="preserve"> </w:t>
      </w:r>
      <w:r w:rsidRPr="00CF5BB6">
        <w:rPr>
          <w:sz w:val="22"/>
          <w:szCs w:val="22"/>
        </w:rPr>
        <w:t>no</w:t>
      </w:r>
    </w:p>
    <w:p w14:paraId="28664A47" w14:textId="77777777" w:rsidR="009B7F36" w:rsidRPr="00CF5BB6" w:rsidRDefault="009B7F36">
      <w:pPr>
        <w:rPr>
          <w:b/>
          <w:sz w:val="22"/>
          <w:szCs w:val="22"/>
          <w:u w:val="single"/>
        </w:rPr>
      </w:pPr>
    </w:p>
    <w:p w14:paraId="00000008" w14:textId="3327CB2E" w:rsidR="00C50A3B" w:rsidRPr="00CF5BB6" w:rsidRDefault="00185374">
      <w:pPr>
        <w:rPr>
          <w:b/>
          <w:sz w:val="22"/>
          <w:szCs w:val="22"/>
          <w:u w:val="single"/>
        </w:rPr>
      </w:pPr>
      <w:r w:rsidRPr="00CF5BB6">
        <w:rPr>
          <w:b/>
          <w:sz w:val="22"/>
          <w:szCs w:val="22"/>
          <w:u w:val="single"/>
        </w:rPr>
        <w:t xml:space="preserve">CALL FOR TENDER: INFORMATION </w:t>
      </w:r>
    </w:p>
    <w:p w14:paraId="00000009" w14:textId="1A9A5078" w:rsidR="00C50A3B" w:rsidRPr="00CF5BB6" w:rsidRDefault="00185374">
      <w:pPr>
        <w:spacing w:before="0" w:after="0"/>
        <w:rPr>
          <w:sz w:val="22"/>
          <w:szCs w:val="22"/>
        </w:rPr>
      </w:pPr>
      <w:r w:rsidRPr="00CF5BB6">
        <w:rPr>
          <w:b/>
          <w:sz w:val="22"/>
          <w:szCs w:val="22"/>
          <w:u w:val="single"/>
        </w:rPr>
        <w:t>II.2) Description</w:t>
      </w:r>
      <w:r w:rsidRPr="00CF5BB6">
        <w:rPr>
          <w:b/>
          <w:sz w:val="22"/>
          <w:szCs w:val="22"/>
          <w:u w:val="single"/>
        </w:rPr>
        <w:br/>
      </w:r>
      <w:r w:rsidRPr="00CF5BB6">
        <w:rPr>
          <w:b/>
          <w:sz w:val="22"/>
          <w:szCs w:val="22"/>
        </w:rPr>
        <w:t>II.2.2) Additional CPV code(s)</w:t>
      </w:r>
    </w:p>
    <w:p w14:paraId="0000000A" w14:textId="77777777" w:rsidR="00C50A3B" w:rsidRPr="00CF5BB6" w:rsidRDefault="00185374">
      <w:pPr>
        <w:rPr>
          <w:b/>
          <w:sz w:val="22"/>
          <w:szCs w:val="22"/>
        </w:rPr>
      </w:pPr>
      <w:r w:rsidRPr="00CF5BB6">
        <w:rPr>
          <w:sz w:val="22"/>
          <w:szCs w:val="22"/>
        </w:rPr>
        <w:t>Main CPV code</w:t>
      </w:r>
      <w:r w:rsidRPr="00CF5BB6">
        <w:rPr>
          <w:b/>
          <w:sz w:val="22"/>
          <w:szCs w:val="22"/>
        </w:rPr>
        <w:t xml:space="preserve"> </w:t>
      </w:r>
      <w:r w:rsidRPr="00CF5BB6">
        <w:rPr>
          <w:sz w:val="22"/>
          <w:szCs w:val="22"/>
        </w:rPr>
        <w:t xml:space="preserve">15894200-3 Prepared meals </w:t>
      </w:r>
    </w:p>
    <w:p w14:paraId="0000000B" w14:textId="77777777" w:rsidR="00C50A3B" w:rsidRPr="00CF5BB6" w:rsidRDefault="00185374">
      <w:pPr>
        <w:rPr>
          <w:b/>
          <w:sz w:val="22"/>
          <w:szCs w:val="22"/>
        </w:rPr>
      </w:pPr>
      <w:r w:rsidRPr="00CF5BB6">
        <w:rPr>
          <w:sz w:val="22"/>
          <w:szCs w:val="22"/>
        </w:rPr>
        <w:t>Supplementary CPV code : 55521200-0 Meal delivery services; 55520000-1 Catering services</w:t>
      </w:r>
    </w:p>
    <w:p w14:paraId="0000000C" w14:textId="18C1255F" w:rsidR="00C50A3B" w:rsidRPr="00CF5BB6" w:rsidRDefault="00185374">
      <w:pPr>
        <w:rPr>
          <w:b/>
          <w:sz w:val="22"/>
          <w:szCs w:val="22"/>
          <w:u w:val="single"/>
        </w:rPr>
      </w:pPr>
      <w:bookmarkStart w:id="0" w:name="_heading=h.gjdgxs" w:colFirst="0" w:colLast="0"/>
      <w:bookmarkEnd w:id="0"/>
      <w:r w:rsidRPr="00CF5BB6">
        <w:rPr>
          <w:b/>
          <w:sz w:val="22"/>
          <w:szCs w:val="22"/>
          <w:u w:val="single"/>
        </w:rPr>
        <w:t>II.2.3) Place performance</w:t>
      </w:r>
    </w:p>
    <w:p w14:paraId="0000000D" w14:textId="77777777" w:rsidR="00C50A3B" w:rsidRPr="00CF5BB6" w:rsidRDefault="00185374">
      <w:pPr>
        <w:rPr>
          <w:sz w:val="22"/>
          <w:szCs w:val="22"/>
        </w:rPr>
      </w:pPr>
      <w:r w:rsidRPr="00CF5BB6">
        <w:rPr>
          <w:sz w:val="22"/>
          <w:szCs w:val="22"/>
        </w:rPr>
        <w:t>Geographical zone benefitting from the action: Republic of Serbia</w:t>
      </w:r>
    </w:p>
    <w:p w14:paraId="0000000E" w14:textId="77777777" w:rsidR="00C50A3B" w:rsidRPr="00CF5BB6" w:rsidRDefault="00185374">
      <w:pPr>
        <w:rPr>
          <w:b/>
          <w:sz w:val="22"/>
          <w:szCs w:val="22"/>
          <w:u w:val="single"/>
        </w:rPr>
      </w:pPr>
      <w:r w:rsidRPr="00CF5BB6">
        <w:rPr>
          <w:b/>
          <w:sz w:val="22"/>
          <w:szCs w:val="22"/>
          <w:u w:val="single"/>
        </w:rPr>
        <w:t>II.2.5)  Award Criteria</w:t>
      </w:r>
    </w:p>
    <w:p w14:paraId="0000000F" w14:textId="77777777" w:rsidR="00C50A3B" w:rsidRPr="00CF5BB6" w:rsidRDefault="00185374">
      <w:pPr>
        <w:rPr>
          <w:sz w:val="22"/>
          <w:szCs w:val="22"/>
        </w:rPr>
      </w:pPr>
      <w:r w:rsidRPr="00CF5BB6">
        <w:rPr>
          <w:sz w:val="22"/>
          <w:szCs w:val="22"/>
        </w:rPr>
        <w:t>Price is not the only award criterion and all criteria are stated only in the procurement documents.</w:t>
      </w:r>
    </w:p>
    <w:p w14:paraId="00000010" w14:textId="77777777" w:rsidR="00C50A3B" w:rsidRPr="00CF5BB6" w:rsidRDefault="00185374">
      <w:pPr>
        <w:rPr>
          <w:sz w:val="22"/>
          <w:szCs w:val="22"/>
        </w:rPr>
      </w:pPr>
      <w:r w:rsidRPr="00CF5BB6">
        <w:rPr>
          <w:b/>
          <w:sz w:val="22"/>
          <w:szCs w:val="22"/>
          <w:u w:val="single"/>
        </w:rPr>
        <w:t>II.2.6 Estimated value</w:t>
      </w:r>
    </w:p>
    <w:p w14:paraId="00000011" w14:textId="521606F8" w:rsidR="00C50A3B" w:rsidRPr="00CF5BB6" w:rsidRDefault="00185374">
      <w:pPr>
        <w:rPr>
          <w:b/>
          <w:sz w:val="22"/>
          <w:szCs w:val="22"/>
        </w:rPr>
      </w:pPr>
      <w:r w:rsidRPr="00CF5BB6">
        <w:rPr>
          <w:b/>
          <w:sz w:val="22"/>
          <w:szCs w:val="22"/>
        </w:rPr>
        <w:t xml:space="preserve">Value excluding VAT:   </w:t>
      </w:r>
      <w:r w:rsidR="001A6633" w:rsidRPr="001A6633">
        <w:rPr>
          <w:b/>
          <w:sz w:val="22"/>
          <w:szCs w:val="22"/>
        </w:rPr>
        <w:t>48.358.148,02</w:t>
      </w:r>
      <w:r w:rsidRPr="00CF5BB6">
        <w:rPr>
          <w:b/>
          <w:sz w:val="20"/>
          <w:szCs w:val="20"/>
        </w:rPr>
        <w:t xml:space="preserve">    Currency:  RSD</w:t>
      </w:r>
    </w:p>
    <w:p w14:paraId="00000012" w14:textId="77777777" w:rsidR="00C50A3B" w:rsidRPr="00CF5BB6" w:rsidRDefault="00185374">
      <w:pPr>
        <w:rPr>
          <w:b/>
          <w:sz w:val="22"/>
          <w:szCs w:val="22"/>
          <w:u w:val="single"/>
        </w:rPr>
      </w:pPr>
      <w:r w:rsidRPr="00CF5BB6">
        <w:rPr>
          <w:b/>
          <w:sz w:val="22"/>
          <w:szCs w:val="22"/>
          <w:u w:val="single"/>
        </w:rPr>
        <w:t>II.2.14) Additional information</w:t>
      </w:r>
    </w:p>
    <w:p w14:paraId="00000013" w14:textId="77777777" w:rsidR="00C50A3B" w:rsidRPr="00CF5BB6" w:rsidRDefault="00185374">
      <w:pPr>
        <w:rPr>
          <w:sz w:val="22"/>
          <w:szCs w:val="22"/>
        </w:rPr>
      </w:pPr>
      <w:r w:rsidRPr="00CF5BB6">
        <w:rPr>
          <w:sz w:val="22"/>
          <w:szCs w:val="22"/>
        </w:rPr>
        <w:t xml:space="preserve">Additional services/works </w:t>
      </w:r>
    </w:p>
    <w:p w14:paraId="00000014" w14:textId="77777777" w:rsidR="00C50A3B" w:rsidRPr="00CF5BB6" w:rsidRDefault="00185374">
      <w:pPr>
        <w:jc w:val="both"/>
        <w:rPr>
          <w:sz w:val="22"/>
          <w:szCs w:val="22"/>
        </w:rPr>
      </w:pPr>
      <w:r w:rsidRPr="00CF5BB6">
        <w:rPr>
          <w:sz w:val="22"/>
          <w:szCs w:val="22"/>
        </w:rPr>
        <w:t>Subsequent to the initial contract resulting from the current tender procedure, new services or works consisting in the repetition of similar services or works, up to the estimated amount of 0 RSD, may be entrusted to the initial contractor by negotiated procedure without prior publication of a contract notice, provided the new services or works are in conformity with the same basic project.</w:t>
      </w:r>
    </w:p>
    <w:p w14:paraId="00000015" w14:textId="77777777" w:rsidR="00C50A3B" w:rsidRPr="00CF5BB6" w:rsidRDefault="00185374">
      <w:pPr>
        <w:rPr>
          <w:b/>
          <w:sz w:val="22"/>
          <w:szCs w:val="22"/>
          <w:u w:val="single"/>
        </w:rPr>
      </w:pPr>
      <w:r w:rsidRPr="00CF5BB6">
        <w:rPr>
          <w:b/>
          <w:sz w:val="22"/>
          <w:szCs w:val="22"/>
          <w:u w:val="single"/>
        </w:rPr>
        <w:t>IV.2.2) Time limit for submission of tenders or requests to participate</w:t>
      </w:r>
    </w:p>
    <w:p w14:paraId="00000016" w14:textId="430C9A59" w:rsidR="00C50A3B" w:rsidRPr="00CF5BB6" w:rsidRDefault="00185374">
      <w:pPr>
        <w:rPr>
          <w:b/>
          <w:sz w:val="22"/>
          <w:szCs w:val="22"/>
        </w:rPr>
      </w:pPr>
      <w:r w:rsidRPr="00CF5BB6">
        <w:rPr>
          <w:b/>
          <w:sz w:val="22"/>
          <w:szCs w:val="22"/>
        </w:rPr>
        <w:t xml:space="preserve">Date: </w:t>
      </w:r>
      <w:r w:rsidR="00B147AB">
        <w:rPr>
          <w:b/>
          <w:sz w:val="22"/>
          <w:szCs w:val="22"/>
        </w:rPr>
        <w:t>21</w:t>
      </w:r>
      <w:r w:rsidRPr="00CF5BB6">
        <w:rPr>
          <w:b/>
          <w:sz w:val="22"/>
          <w:szCs w:val="22"/>
        </w:rPr>
        <w:t>.0</w:t>
      </w:r>
      <w:r w:rsidR="00942C20">
        <w:rPr>
          <w:b/>
          <w:sz w:val="22"/>
          <w:szCs w:val="22"/>
        </w:rPr>
        <w:t>6</w:t>
      </w:r>
      <w:r w:rsidRPr="00CF5BB6">
        <w:rPr>
          <w:b/>
          <w:sz w:val="22"/>
          <w:szCs w:val="22"/>
        </w:rPr>
        <w:t>.202</w:t>
      </w:r>
      <w:r w:rsidR="00942C20">
        <w:rPr>
          <w:b/>
          <w:sz w:val="22"/>
          <w:szCs w:val="22"/>
        </w:rPr>
        <w:t>5</w:t>
      </w:r>
      <w:r w:rsidRPr="00CF5BB6">
        <w:rPr>
          <w:b/>
          <w:sz w:val="22"/>
          <w:szCs w:val="22"/>
        </w:rPr>
        <w:t>.</w:t>
      </w:r>
      <w:r w:rsidR="004B15E9" w:rsidRPr="00CF5BB6">
        <w:rPr>
          <w:b/>
          <w:sz w:val="22"/>
          <w:szCs w:val="22"/>
        </w:rPr>
        <w:t xml:space="preserve">   </w:t>
      </w:r>
      <w:r w:rsidRPr="00CF5BB6">
        <w:rPr>
          <w:b/>
          <w:sz w:val="22"/>
          <w:szCs w:val="22"/>
        </w:rPr>
        <w:br/>
        <w:t>Local Time: 15:30 hrs</w:t>
      </w:r>
    </w:p>
    <w:p w14:paraId="00000017" w14:textId="77777777" w:rsidR="00C50A3B" w:rsidRPr="00CF5BB6" w:rsidRDefault="00185374">
      <w:pPr>
        <w:rPr>
          <w:b/>
          <w:sz w:val="22"/>
          <w:szCs w:val="22"/>
          <w:u w:val="single"/>
        </w:rPr>
      </w:pPr>
      <w:r w:rsidRPr="00CF5BB6">
        <w:rPr>
          <w:b/>
          <w:sz w:val="22"/>
          <w:szCs w:val="22"/>
          <w:u w:val="single"/>
        </w:rPr>
        <w:t>IV.2.6) Minimum time frame during which the tenderer must maintain the tender</w:t>
      </w:r>
    </w:p>
    <w:p w14:paraId="00000018" w14:textId="77777777" w:rsidR="00C50A3B" w:rsidRPr="00CF5BB6" w:rsidRDefault="00185374">
      <w:pPr>
        <w:rPr>
          <w:sz w:val="22"/>
          <w:szCs w:val="22"/>
        </w:rPr>
      </w:pPr>
      <w:r w:rsidRPr="00CF5BB6">
        <w:rPr>
          <w:sz w:val="22"/>
          <w:szCs w:val="22"/>
        </w:rPr>
        <w:t>Duration in months:  3 (from the date stated for receipt of tender)</w:t>
      </w:r>
    </w:p>
    <w:p w14:paraId="00000019" w14:textId="77777777" w:rsidR="00C50A3B" w:rsidRPr="00CF5BB6" w:rsidRDefault="00185374">
      <w:pPr>
        <w:rPr>
          <w:b/>
          <w:sz w:val="22"/>
          <w:szCs w:val="22"/>
          <w:u w:val="single"/>
        </w:rPr>
      </w:pPr>
      <w:r w:rsidRPr="00CF5BB6">
        <w:rPr>
          <w:b/>
          <w:sz w:val="22"/>
          <w:szCs w:val="22"/>
          <w:u w:val="single"/>
        </w:rPr>
        <w:t xml:space="preserve">IV.2.7) Conditions for opening of tenders </w:t>
      </w:r>
    </w:p>
    <w:p w14:paraId="0000001A" w14:textId="3F58205C" w:rsidR="00C50A3B" w:rsidRDefault="00185374">
      <w:r w:rsidRPr="00CF5BB6">
        <w:rPr>
          <w:b/>
          <w:sz w:val="22"/>
          <w:szCs w:val="22"/>
        </w:rPr>
        <w:t>Date:</w:t>
      </w:r>
      <w:r w:rsidR="00296505" w:rsidRPr="00CF5BB6">
        <w:rPr>
          <w:b/>
          <w:sz w:val="22"/>
          <w:szCs w:val="22"/>
        </w:rPr>
        <w:t xml:space="preserve"> </w:t>
      </w:r>
      <w:r w:rsidR="000544BF">
        <w:rPr>
          <w:b/>
          <w:sz w:val="22"/>
          <w:szCs w:val="22"/>
        </w:rPr>
        <w:t>2</w:t>
      </w:r>
      <w:r w:rsidR="00B147AB">
        <w:rPr>
          <w:b/>
          <w:sz w:val="22"/>
          <w:szCs w:val="22"/>
        </w:rPr>
        <w:t>2</w:t>
      </w:r>
      <w:r w:rsidR="00942C20">
        <w:rPr>
          <w:b/>
          <w:sz w:val="22"/>
          <w:szCs w:val="22"/>
        </w:rPr>
        <w:t>.</w:t>
      </w:r>
      <w:r w:rsidR="00296505" w:rsidRPr="00CF5BB6">
        <w:rPr>
          <w:b/>
          <w:sz w:val="22"/>
          <w:szCs w:val="22"/>
        </w:rPr>
        <w:t>0</w:t>
      </w:r>
      <w:r w:rsidR="00B147AB">
        <w:rPr>
          <w:b/>
          <w:sz w:val="22"/>
          <w:szCs w:val="22"/>
        </w:rPr>
        <w:t>6</w:t>
      </w:r>
      <w:bookmarkStart w:id="1" w:name="_GoBack"/>
      <w:bookmarkEnd w:id="1"/>
      <w:r w:rsidRPr="00CF5BB6">
        <w:rPr>
          <w:b/>
          <w:sz w:val="22"/>
          <w:szCs w:val="22"/>
        </w:rPr>
        <w:t>.202</w:t>
      </w:r>
      <w:r w:rsidR="00942C20">
        <w:rPr>
          <w:b/>
          <w:sz w:val="22"/>
          <w:szCs w:val="22"/>
        </w:rPr>
        <w:t>5</w:t>
      </w:r>
      <w:r w:rsidRPr="00CF5BB6">
        <w:rPr>
          <w:b/>
          <w:sz w:val="22"/>
          <w:szCs w:val="22"/>
        </w:rPr>
        <w:t>.</w:t>
      </w:r>
      <w:r w:rsidRPr="00CF5BB6">
        <w:rPr>
          <w:b/>
          <w:sz w:val="22"/>
          <w:szCs w:val="22"/>
          <w:u w:val="single"/>
        </w:rPr>
        <w:br/>
      </w:r>
      <w:r w:rsidRPr="00CF5BB6">
        <w:rPr>
          <w:b/>
          <w:sz w:val="22"/>
          <w:szCs w:val="22"/>
        </w:rPr>
        <w:t>Local time: 12:00 hrs</w:t>
      </w:r>
      <w:r w:rsidRPr="00CF5BB6">
        <w:rPr>
          <w:b/>
          <w:sz w:val="22"/>
          <w:szCs w:val="22"/>
          <w:u w:val="single"/>
        </w:rPr>
        <w:br/>
      </w:r>
      <w:r w:rsidRPr="00CF5BB6">
        <w:rPr>
          <w:sz w:val="22"/>
          <w:szCs w:val="22"/>
        </w:rPr>
        <w:t>Place: Commissariat for refugees and migration of the Republic of Serbia, Narodnih heroja 4, 11070 Belgrade, Serbia</w:t>
      </w:r>
      <w:r w:rsidRPr="00CF5BB6">
        <w:rPr>
          <w:sz w:val="22"/>
          <w:szCs w:val="22"/>
        </w:rPr>
        <w:br/>
      </w:r>
    </w:p>
    <w:sectPr w:rsidR="00C50A3B">
      <w:footerReference w:type="default" r:id="rId9"/>
      <w:pgSz w:w="12240" w:h="15840"/>
      <w:pgMar w:top="993" w:right="1440" w:bottom="1276" w:left="1418" w:header="851" w:footer="6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282F" w14:textId="77777777" w:rsidR="007D1728" w:rsidRDefault="007D1728">
      <w:pPr>
        <w:spacing w:before="0" w:after="0"/>
      </w:pPr>
      <w:r>
        <w:separator/>
      </w:r>
    </w:p>
  </w:endnote>
  <w:endnote w:type="continuationSeparator" w:id="0">
    <w:p w14:paraId="75294E45" w14:textId="77777777" w:rsidR="007D1728" w:rsidRDefault="007D17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B" w14:textId="24F4D4F9" w:rsidR="00C50A3B" w:rsidRDefault="00185374">
    <w:pPr>
      <w:pBdr>
        <w:top w:val="nil"/>
        <w:left w:val="nil"/>
        <w:bottom w:val="nil"/>
        <w:right w:val="nil"/>
        <w:between w:val="nil"/>
      </w:pBdr>
      <w:tabs>
        <w:tab w:val="center" w:pos="4320"/>
        <w:tab w:val="right" w:pos="8640"/>
        <w:tab w:val="right" w:pos="9214"/>
      </w:tabs>
      <w:spacing w:before="120" w:after="0"/>
      <w:rPr>
        <w:b/>
        <w:color w:val="000000"/>
        <w:sz w:val="18"/>
        <w:szCs w:val="18"/>
      </w:rPr>
    </w:pPr>
    <w:r>
      <w:rPr>
        <w:b/>
        <w:color w:val="000000"/>
        <w:sz w:val="18"/>
        <w:szCs w:val="18"/>
      </w:rPr>
      <w:t>2021</w:t>
    </w:r>
    <w:r w:rsidR="008015BF">
      <w:rPr>
        <w:b/>
        <w:color w:val="000000"/>
        <w:sz w:val="18"/>
        <w:szCs w:val="18"/>
      </w:rPr>
      <w:t>.1</w:t>
    </w:r>
  </w:p>
  <w:p w14:paraId="0000001C" w14:textId="64A84E74" w:rsidR="00C50A3B" w:rsidRDefault="00185374">
    <w:pPr>
      <w:pBdr>
        <w:top w:val="nil"/>
        <w:left w:val="nil"/>
        <w:bottom w:val="nil"/>
        <w:right w:val="nil"/>
        <w:between w:val="nil"/>
      </w:pBdr>
      <w:tabs>
        <w:tab w:val="center" w:pos="4320"/>
        <w:tab w:val="right" w:pos="8640"/>
        <w:tab w:val="right" w:pos="9214"/>
      </w:tabs>
      <w:spacing w:before="0" w:after="0"/>
      <w:rPr>
        <w:b/>
        <w:color w:val="000000"/>
        <w:sz w:val="20"/>
        <w:szCs w:val="20"/>
      </w:rPr>
    </w:pPr>
    <w:r>
      <w:rPr>
        <w:color w:val="000000"/>
        <w:sz w:val="18"/>
        <w:szCs w:val="18"/>
      </w:rPr>
      <w:t>a5e_contractnotice_enotices_en.doc</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DE7CA8">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DE7CA8">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E2D37" w14:textId="77777777" w:rsidR="007D1728" w:rsidRDefault="007D1728">
      <w:pPr>
        <w:spacing w:before="0" w:after="0"/>
      </w:pPr>
      <w:r>
        <w:separator/>
      </w:r>
    </w:p>
  </w:footnote>
  <w:footnote w:type="continuationSeparator" w:id="0">
    <w:p w14:paraId="58BC88F6" w14:textId="77777777" w:rsidR="007D1728" w:rsidRDefault="007D17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672BA"/>
    <w:multiLevelType w:val="multilevel"/>
    <w:tmpl w:val="26BC3DAC"/>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3B"/>
    <w:rsid w:val="000544BF"/>
    <w:rsid w:val="001378EF"/>
    <w:rsid w:val="001740F4"/>
    <w:rsid w:val="00185374"/>
    <w:rsid w:val="001A6633"/>
    <w:rsid w:val="002338D5"/>
    <w:rsid w:val="00296505"/>
    <w:rsid w:val="002C0B83"/>
    <w:rsid w:val="00341815"/>
    <w:rsid w:val="00365FCA"/>
    <w:rsid w:val="003A0921"/>
    <w:rsid w:val="003A2352"/>
    <w:rsid w:val="003A61CE"/>
    <w:rsid w:val="003B3780"/>
    <w:rsid w:val="0043596A"/>
    <w:rsid w:val="004522D2"/>
    <w:rsid w:val="004B15E9"/>
    <w:rsid w:val="0056569F"/>
    <w:rsid w:val="007D1728"/>
    <w:rsid w:val="008015BF"/>
    <w:rsid w:val="00887EC4"/>
    <w:rsid w:val="00896DCC"/>
    <w:rsid w:val="008D31E8"/>
    <w:rsid w:val="008D5BC6"/>
    <w:rsid w:val="00942C20"/>
    <w:rsid w:val="009B7F36"/>
    <w:rsid w:val="00AB2482"/>
    <w:rsid w:val="00B147AB"/>
    <w:rsid w:val="00B93CFB"/>
    <w:rsid w:val="00C22401"/>
    <w:rsid w:val="00C50A3B"/>
    <w:rsid w:val="00CA796D"/>
    <w:rsid w:val="00CB2FD6"/>
    <w:rsid w:val="00CF5BB6"/>
    <w:rsid w:val="00D84D44"/>
    <w:rsid w:val="00D90FBE"/>
    <w:rsid w:val="00DD1359"/>
    <w:rsid w:val="00DE7CA8"/>
    <w:rsid w:val="00E30D07"/>
    <w:rsid w:val="00E5386D"/>
    <w:rsid w:val="00E63458"/>
    <w:rsid w:val="00E90912"/>
    <w:rsid w:val="00E97B23"/>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0FF3"/>
  <w15:docId w15:val="{E125BDA0-A7F2-49D0-BBD1-4633520C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widowControl w:val="0"/>
        <w:spacing w:before="100" w:after="1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napToGrid w:val="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D6292"/>
    <w:pPr>
      <w:keepNext/>
      <w:widowControl/>
      <w:spacing w:before="120" w:after="120"/>
      <w:outlineLvl w:val="1"/>
    </w:pPr>
    <w:rPr>
      <w:rFonts w:ascii="Arial" w:hAnsi="Arial"/>
      <w:sz w:val="20"/>
      <w:lang w:val="fr-B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lang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1"/>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next w:val="Normal"/>
    <w:link w:val="SubtitleChar"/>
    <w:uiPriority w:val="11"/>
    <w:qFormat/>
    <w:pPr>
      <w:widowControl/>
      <w:spacing w:before="120" w:after="120"/>
      <w:jc w:val="center"/>
    </w:pPr>
    <w:rPr>
      <w:rFonts w:ascii="Arial" w:eastAsia="Arial" w:hAnsi="Arial" w:cs="Arial"/>
      <w:b/>
      <w:sz w:val="28"/>
      <w:szCs w:val="28"/>
    </w:rPr>
  </w:style>
  <w:style w:type="character" w:customStyle="1" w:styleId="SubtitleChar">
    <w:name w:val="Subtitle Char"/>
    <w:link w:val="Subtitle"/>
    <w:rsid w:val="00EF74CF"/>
    <w:rPr>
      <w:rFonts w:ascii="Arial" w:hAnsi="Arial"/>
      <w:b/>
      <w:snapToGrid w:val="0"/>
      <w:sz w:val="28"/>
      <w:lang w:eastAsia="en-US"/>
    </w:rPr>
  </w:style>
  <w:style w:type="character" w:styleId="UnresolvedMention">
    <w:name w:val="Unresolved Mention"/>
    <w:basedOn w:val="DefaultParagraphFont"/>
    <w:uiPriority w:val="99"/>
    <w:semiHidden/>
    <w:unhideWhenUsed/>
    <w:rsid w:val="00DE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s.gov.rs/cir/javne-nabavke/otvoreni-postupak/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haYo2i9bt6qoX/MqvA5t7em0uw==">AMUW2mVPc8M3DcteDMWesItK+Pv3auj3ATQ9gFgiEJmxlO3pwk21uLKgyA+Xt6/5qTFIc9+JmnOW8xZLeA8vm5QkJG8Y7dlPuVdxXON7U0gZkir1+puOoqC28z3jRmwDCPaAeVPO35j9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ramatje</dc:creator>
  <cp:lastModifiedBy>Slobodan Karanovic</cp:lastModifiedBy>
  <cp:revision>29</cp:revision>
  <dcterms:created xsi:type="dcterms:W3CDTF">2020-07-13T18:49:00Z</dcterms:created>
  <dcterms:modified xsi:type="dcterms:W3CDTF">2025-05-20T09:43:00Z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