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F1195A">
        <w:rPr>
          <w:rFonts w:ascii="Times New Roman" w:hAnsi="Times New Roman"/>
          <w:b/>
          <w:sz w:val="22"/>
          <w:lang w:val="en-GB"/>
        </w:rPr>
        <w:t>fuel</w:t>
      </w:r>
      <w:r w:rsidR="00AA51FA">
        <w:rPr>
          <w:rFonts w:ascii="Times New Roman" w:hAnsi="Times New Roman"/>
          <w:b/>
          <w:sz w:val="22"/>
          <w:lang w:val="en-GB"/>
        </w:rPr>
        <w:t xml:space="preserve"> for SCRM</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A51FA" w:rsidRPr="00AA51FA">
        <w:rPr>
          <w:rFonts w:ascii="Times New Roman" w:hAnsi="Times New Roman"/>
          <w:sz w:val="22"/>
          <w:lang w:val="en-GB"/>
        </w:rPr>
        <w:t>IPA/2022/435-352/</w:t>
      </w:r>
      <w:r w:rsidR="00105E43">
        <w:rPr>
          <w:rFonts w:ascii="Times New Roman" w:hAnsi="Times New Roman"/>
          <w:sz w:val="22"/>
          <w:lang w:val="en-GB"/>
        </w:rPr>
        <w:t>202</w:t>
      </w:r>
      <w:r w:rsidR="00CD6685">
        <w:rPr>
          <w:rFonts w:ascii="Times New Roman" w:hAnsi="Times New Roman"/>
          <w:sz w:val="22"/>
          <w:lang w:val="en-GB"/>
        </w:rPr>
        <w:t>5</w:t>
      </w:r>
      <w:r w:rsidR="00105E43">
        <w:rPr>
          <w:rFonts w:ascii="Times New Roman" w:hAnsi="Times New Roman"/>
          <w:sz w:val="22"/>
          <w:lang w:val="en-GB"/>
        </w:rPr>
        <w:t>-</w:t>
      </w:r>
      <w:r w:rsidR="00CD6685">
        <w:rPr>
          <w:rFonts w:ascii="Times New Roman" w:hAnsi="Times New Roman"/>
          <w:sz w:val="22"/>
          <w:lang w:val="en-GB"/>
        </w:rPr>
        <w:t>1</w:t>
      </w:r>
      <w:r w:rsidR="00AA51FA" w:rsidRPr="00AA51FA">
        <w:rPr>
          <w:rFonts w:ascii="Times New Roman" w:hAnsi="Times New Roman"/>
          <w:sz w:val="22"/>
          <w:lang w:val="en-GB"/>
        </w:rPr>
        <w:t xml:space="preserve">   </w:t>
      </w: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F1195A" w:rsidRPr="002A076D" w:rsidRDefault="00F1195A" w:rsidP="00F1195A">
      <w:pPr>
        <w:ind w:left="567" w:hanging="567"/>
        <w:jc w:val="both"/>
        <w:rPr>
          <w:rFonts w:ascii="Times New Roman" w:hAnsi="Times New Roman"/>
          <w:b/>
          <w:color w:val="FF0000"/>
          <w:sz w:val="22"/>
          <w:szCs w:val="22"/>
          <w:lang w:val="en-GB"/>
        </w:rPr>
      </w:pPr>
      <w:r w:rsidRPr="002A076D">
        <w:rPr>
          <w:rFonts w:ascii="Times New Roman" w:hAnsi="Times New Roman"/>
          <w:b/>
          <w:color w:val="FF0000"/>
          <w:sz w:val="22"/>
          <w:szCs w:val="22"/>
          <w:lang w:val="en-GB"/>
        </w:rPr>
        <w:t>General requirements:</w:t>
      </w:r>
    </w:p>
    <w:p w:rsidR="00F1195A" w:rsidRPr="002A076D" w:rsidRDefault="00F1195A" w:rsidP="00F1195A">
      <w:pPr>
        <w:ind w:left="567" w:hanging="567"/>
        <w:jc w:val="both"/>
        <w:rPr>
          <w:rFonts w:ascii="Times New Roman" w:hAnsi="Times New Roman"/>
          <w:b/>
          <w:color w:val="FF0000"/>
          <w:sz w:val="22"/>
          <w:szCs w:val="22"/>
          <w:lang w:val="en-GB"/>
        </w:rPr>
      </w:pPr>
      <w:r w:rsidRPr="002A076D">
        <w:rPr>
          <w:rFonts w:ascii="Times New Roman" w:hAnsi="Times New Roman"/>
          <w:b/>
          <w:color w:val="FF0000"/>
          <w:sz w:val="22"/>
          <w:szCs w:val="22"/>
          <w:lang w:val="en-GB"/>
        </w:rPr>
        <w:t>•</w:t>
      </w:r>
      <w:r w:rsidRPr="002A076D">
        <w:rPr>
          <w:rFonts w:ascii="Times New Roman" w:hAnsi="Times New Roman"/>
          <w:b/>
          <w:color w:val="FF0000"/>
          <w:sz w:val="22"/>
          <w:szCs w:val="22"/>
          <w:lang w:val="en-GB"/>
        </w:rPr>
        <w:tab/>
        <w:t>At least two fuel station must be available in the Republic of Serbia in each of the districts. The tenderer must submit a statement - a list of available fuel stations (on official letter head of the tenderer and signed by legal representative of the tenderer) in the Republic of Serbia in each of the districts as stated in Annex II and III. Additionally, for each fuel station, the following must be included: location, address, telephone number and working time.</w:t>
      </w:r>
    </w:p>
    <w:p w:rsidR="00F1195A" w:rsidRPr="002A076D" w:rsidRDefault="00F1195A" w:rsidP="00F1195A">
      <w:pPr>
        <w:ind w:left="567" w:hanging="567"/>
        <w:jc w:val="both"/>
        <w:rPr>
          <w:rFonts w:ascii="Times New Roman" w:hAnsi="Times New Roman"/>
          <w:b/>
          <w:color w:val="FF0000"/>
          <w:sz w:val="22"/>
          <w:szCs w:val="22"/>
          <w:lang w:val="en-GB"/>
        </w:rPr>
      </w:pPr>
      <w:r w:rsidRPr="002A076D">
        <w:rPr>
          <w:rFonts w:ascii="Times New Roman" w:hAnsi="Times New Roman"/>
          <w:b/>
          <w:color w:val="FF0000"/>
          <w:sz w:val="22"/>
          <w:szCs w:val="22"/>
          <w:lang w:val="en-GB"/>
        </w:rPr>
        <w:t>•</w:t>
      </w:r>
      <w:r w:rsidRPr="002A076D">
        <w:rPr>
          <w:rFonts w:ascii="Times New Roman" w:hAnsi="Times New Roman"/>
          <w:b/>
          <w:color w:val="FF0000"/>
          <w:sz w:val="22"/>
          <w:szCs w:val="22"/>
          <w:lang w:val="en-GB"/>
        </w:rPr>
        <w:tab/>
        <w:t xml:space="preserve">Possibility of purchasing fuel via company/corporative debit fuel cards. The use of company/corporative debit fuel cards must be enabled throughout the supplier’s fuel stations network on the territory of the Republic of Serbia and be theft and misuse protected. </w:t>
      </w:r>
    </w:p>
    <w:p w:rsidR="00F1195A" w:rsidRPr="002A076D" w:rsidRDefault="00F1195A" w:rsidP="00F1195A">
      <w:pPr>
        <w:ind w:left="567" w:hanging="567"/>
        <w:jc w:val="both"/>
        <w:rPr>
          <w:rFonts w:ascii="Times New Roman" w:hAnsi="Times New Roman"/>
          <w:b/>
          <w:color w:val="FF0000"/>
          <w:sz w:val="22"/>
          <w:szCs w:val="22"/>
          <w:lang w:val="en-GB"/>
        </w:rPr>
      </w:pPr>
      <w:r w:rsidRPr="002A076D">
        <w:rPr>
          <w:rFonts w:ascii="Times New Roman" w:hAnsi="Times New Roman"/>
          <w:b/>
          <w:color w:val="FF0000"/>
          <w:sz w:val="22"/>
          <w:szCs w:val="22"/>
          <w:lang w:val="en-GB"/>
        </w:rPr>
        <w:t>•</w:t>
      </w:r>
      <w:r w:rsidRPr="002A076D">
        <w:rPr>
          <w:rFonts w:ascii="Times New Roman" w:hAnsi="Times New Roman"/>
          <w:b/>
          <w:color w:val="FF0000"/>
          <w:sz w:val="22"/>
          <w:szCs w:val="22"/>
          <w:lang w:val="en-GB"/>
        </w:rPr>
        <w:tab/>
        <w:t xml:space="preserve">Company/corporative debit fuel cards and fuel consumption monitoring system for all SCRM vehicles, to be provided for SCRM free of charge. </w:t>
      </w:r>
    </w:p>
    <w:p w:rsidR="00F1195A" w:rsidRPr="002A076D" w:rsidRDefault="00F1195A" w:rsidP="00F1195A">
      <w:pPr>
        <w:ind w:left="567" w:hanging="567"/>
        <w:jc w:val="both"/>
        <w:rPr>
          <w:rFonts w:ascii="Times New Roman" w:hAnsi="Times New Roman"/>
          <w:b/>
          <w:color w:val="FF0000"/>
          <w:sz w:val="22"/>
          <w:szCs w:val="22"/>
          <w:lang w:val="en-GB"/>
        </w:rPr>
      </w:pPr>
    </w:p>
    <w:p w:rsidR="00F1195A" w:rsidRPr="002A076D" w:rsidRDefault="00F1195A" w:rsidP="00F1195A">
      <w:pPr>
        <w:ind w:left="567" w:hanging="567"/>
        <w:jc w:val="both"/>
        <w:rPr>
          <w:rFonts w:ascii="Times New Roman" w:hAnsi="Times New Roman"/>
          <w:b/>
          <w:color w:val="FF0000"/>
          <w:sz w:val="22"/>
          <w:szCs w:val="22"/>
          <w:lang w:val="en-GB"/>
        </w:rPr>
      </w:pPr>
    </w:p>
    <w:p w:rsidR="00F1195A" w:rsidRPr="002A076D" w:rsidRDefault="00F1195A" w:rsidP="00F1195A">
      <w:pPr>
        <w:ind w:left="567" w:hanging="567"/>
        <w:jc w:val="both"/>
        <w:rPr>
          <w:rFonts w:ascii="Times New Roman" w:hAnsi="Times New Roman"/>
          <w:b/>
          <w:color w:val="FF0000"/>
          <w:sz w:val="22"/>
          <w:szCs w:val="22"/>
          <w:lang w:val="en-GB"/>
        </w:rPr>
      </w:pPr>
      <w:r w:rsidRPr="002A076D">
        <w:rPr>
          <w:rFonts w:ascii="Times New Roman" w:hAnsi="Times New Roman"/>
          <w:b/>
          <w:color w:val="FF0000"/>
          <w:sz w:val="22"/>
          <w:szCs w:val="22"/>
          <w:lang w:val="en-GB"/>
        </w:rPr>
        <w:t>NOTE:</w:t>
      </w:r>
    </w:p>
    <w:p w:rsidR="00F1195A" w:rsidRPr="002A076D" w:rsidRDefault="00F1195A" w:rsidP="00F1195A">
      <w:pPr>
        <w:ind w:left="567" w:hanging="567"/>
        <w:jc w:val="both"/>
        <w:rPr>
          <w:rFonts w:ascii="Times New Roman" w:hAnsi="Times New Roman"/>
          <w:b/>
          <w:color w:val="FF0000"/>
          <w:sz w:val="22"/>
          <w:szCs w:val="22"/>
          <w:lang w:val="en-GB"/>
        </w:rPr>
      </w:pPr>
      <w:r w:rsidRPr="002A076D">
        <w:rPr>
          <w:rFonts w:ascii="Times New Roman" w:hAnsi="Times New Roman"/>
          <w:b/>
          <w:color w:val="FF0000"/>
          <w:sz w:val="22"/>
          <w:szCs w:val="22"/>
          <w:lang w:val="en-GB"/>
        </w:rPr>
        <w:t>•</w:t>
      </w:r>
      <w:r w:rsidRPr="002A076D">
        <w:rPr>
          <w:rFonts w:ascii="Times New Roman" w:hAnsi="Times New Roman"/>
          <w:b/>
          <w:color w:val="FF0000"/>
          <w:sz w:val="22"/>
          <w:szCs w:val="22"/>
          <w:lang w:val="en-GB"/>
        </w:rPr>
        <w:tab/>
        <w:t>The quantities specified in Annexes II and III are an indicative estimation of the Contracting Authority. The amounts due under the contract will be calculated based on the quantities actually supplied, in accordance with the contract.</w:t>
      </w:r>
    </w:p>
    <w:p w:rsidR="00F1195A" w:rsidRPr="002A076D" w:rsidRDefault="00F1195A" w:rsidP="00F1195A">
      <w:pPr>
        <w:ind w:left="567" w:hanging="567"/>
        <w:jc w:val="both"/>
        <w:rPr>
          <w:rFonts w:ascii="Times New Roman" w:hAnsi="Times New Roman"/>
          <w:b/>
          <w:color w:val="FF0000"/>
          <w:sz w:val="22"/>
          <w:szCs w:val="22"/>
          <w:lang w:val="en-GB"/>
        </w:rPr>
      </w:pPr>
      <w:r w:rsidRPr="002A076D">
        <w:rPr>
          <w:rFonts w:ascii="Times New Roman" w:hAnsi="Times New Roman"/>
          <w:b/>
          <w:color w:val="FF0000"/>
          <w:sz w:val="22"/>
          <w:szCs w:val="22"/>
          <w:lang w:val="en-GB"/>
        </w:rPr>
        <w:t>•</w:t>
      </w:r>
      <w:r w:rsidRPr="002A076D">
        <w:rPr>
          <w:rFonts w:ascii="Times New Roman" w:hAnsi="Times New Roman"/>
          <w:b/>
          <w:color w:val="FF0000"/>
          <w:sz w:val="22"/>
          <w:szCs w:val="22"/>
          <w:lang w:val="en-GB"/>
        </w:rPr>
        <w:tab/>
        <w:t>The signature of the contract imposes no obligation on the Contracting Authority to purchase the indicative quantities as estimated in Annexes II and III.</w:t>
      </w:r>
    </w:p>
    <w:p w:rsidR="00F1195A" w:rsidRPr="002A076D" w:rsidRDefault="00F1195A" w:rsidP="00F1195A">
      <w:pPr>
        <w:ind w:left="567" w:hanging="567"/>
        <w:jc w:val="both"/>
        <w:rPr>
          <w:rFonts w:ascii="Times New Roman" w:hAnsi="Times New Roman"/>
          <w:b/>
          <w:color w:val="FF0000"/>
          <w:sz w:val="22"/>
          <w:szCs w:val="22"/>
          <w:lang w:val="en-GB"/>
        </w:rPr>
      </w:pPr>
      <w:r w:rsidRPr="002A076D">
        <w:rPr>
          <w:rFonts w:ascii="Times New Roman" w:hAnsi="Times New Roman"/>
          <w:b/>
          <w:color w:val="FF0000"/>
          <w:sz w:val="22"/>
          <w:szCs w:val="22"/>
          <w:lang w:val="en-GB"/>
        </w:rPr>
        <w:t>•</w:t>
      </w:r>
      <w:r w:rsidRPr="002A076D">
        <w:rPr>
          <w:rFonts w:ascii="Times New Roman" w:hAnsi="Times New Roman"/>
          <w:b/>
          <w:color w:val="FF0000"/>
          <w:sz w:val="22"/>
          <w:szCs w:val="22"/>
          <w:lang w:val="en-GB"/>
        </w:rPr>
        <w:tab/>
        <w:t>The contractor shall NOT be entitled to compensation, in case the Contracting Authority decides to purchase fewer, or more quantities than the indicative ones specified in Annex II + III.</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301346" w:rsidRDefault="00301346" w:rsidP="00086653">
            <w:pPr>
              <w:rPr>
                <w:rFonts w:ascii="Times New Roman" w:hAnsi="Times New Roman"/>
                <w:sz w:val="22"/>
                <w:szCs w:val="22"/>
                <w:lang w:val="en-GB"/>
              </w:rPr>
            </w:pPr>
          </w:p>
          <w:p w:rsidR="00086653" w:rsidRPr="00086653" w:rsidRDefault="00086653" w:rsidP="00086653">
            <w:pPr>
              <w:rPr>
                <w:rFonts w:ascii="Times New Roman" w:hAnsi="Times New Roman"/>
                <w:sz w:val="22"/>
                <w:szCs w:val="22"/>
                <w:highlight w:val="green"/>
              </w:rPr>
            </w:pP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trPr>
          <w:cantSplit/>
        </w:trPr>
        <w:tc>
          <w:tcPr>
            <w:tcW w:w="1134" w:type="dxa"/>
          </w:tcPr>
          <w:p w:rsidR="002C3F97" w:rsidRDefault="00301346" w:rsidP="00301346">
            <w:pPr>
              <w:rPr>
                <w:rFonts w:ascii="Times New Roman" w:hAnsi="Times New Roman"/>
                <w:b/>
                <w:highlight w:val="green"/>
                <w:lang w:val="en-GB"/>
              </w:rPr>
            </w:pPr>
            <w:r w:rsidRPr="00034B1D">
              <w:rPr>
                <w:rFonts w:ascii="Times New Roman" w:hAnsi="Times New Roman"/>
                <w:b/>
                <w:lang w:val="en-GB"/>
              </w:rPr>
              <w:lastRenderedPageBreak/>
              <w:t>1</w:t>
            </w: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Pr="002C3F97" w:rsidRDefault="002C3F97" w:rsidP="002C3F97">
            <w:pPr>
              <w:rPr>
                <w:rFonts w:ascii="Times New Roman" w:hAnsi="Times New Roman"/>
                <w:highlight w:val="green"/>
                <w:lang w:val="en-GB"/>
              </w:rPr>
            </w:pPr>
          </w:p>
          <w:p w:rsidR="002C3F97" w:rsidRDefault="002C3F97" w:rsidP="002C3F97">
            <w:pPr>
              <w:rPr>
                <w:rFonts w:ascii="Times New Roman" w:hAnsi="Times New Roman"/>
                <w:highlight w:val="green"/>
                <w:lang w:val="en-GB"/>
              </w:rPr>
            </w:pPr>
          </w:p>
          <w:p w:rsidR="00301346" w:rsidRPr="002C3F97" w:rsidRDefault="00301346" w:rsidP="002C3F97">
            <w:pPr>
              <w:rPr>
                <w:rFonts w:ascii="Times New Roman" w:hAnsi="Times New Roman"/>
                <w:highlight w:val="green"/>
                <w:lang w:val="en-GB"/>
              </w:rPr>
            </w:pPr>
          </w:p>
        </w:tc>
        <w:tc>
          <w:tcPr>
            <w:tcW w:w="4678" w:type="dxa"/>
            <w:vAlign w:val="center"/>
          </w:tcPr>
          <w:p w:rsidR="00F1195A" w:rsidRDefault="00F1195A" w:rsidP="00F1195A">
            <w:pPr>
              <w:snapToGrid w:val="0"/>
              <w:jc w:val="both"/>
              <w:rPr>
                <w:rFonts w:ascii="Times New Roman" w:hAnsi="Times New Roman"/>
                <w:lang w:val="en-GB"/>
              </w:rPr>
            </w:pPr>
            <w:r w:rsidRPr="00F061AC">
              <w:rPr>
                <w:rFonts w:ascii="Times New Roman" w:hAnsi="Times New Roman"/>
                <w:lang w:val="en-GB"/>
              </w:rPr>
              <w:t xml:space="preserve">- Provision of </w:t>
            </w:r>
            <w:r w:rsidRPr="00577583">
              <w:rPr>
                <w:rFonts w:ascii="Times New Roman" w:hAnsi="Times New Roman"/>
                <w:b/>
                <w:u w:val="single"/>
                <w:lang w:val="en-GB"/>
              </w:rPr>
              <w:t xml:space="preserve">Euro diesel and </w:t>
            </w:r>
            <w:r w:rsidR="00577583" w:rsidRPr="00577583">
              <w:rPr>
                <w:rFonts w:ascii="Times New Roman" w:hAnsi="Times New Roman"/>
                <w:b/>
                <w:u w:val="single"/>
                <w:lang w:val="en-GB"/>
              </w:rPr>
              <w:t>G</w:t>
            </w:r>
            <w:r w:rsidRPr="00577583">
              <w:rPr>
                <w:rFonts w:ascii="Times New Roman" w:hAnsi="Times New Roman"/>
                <w:b/>
                <w:u w:val="single"/>
                <w:lang w:val="en-GB"/>
              </w:rPr>
              <w:t xml:space="preserve">asoline </w:t>
            </w:r>
            <w:r w:rsidR="00577583" w:rsidRPr="00577583">
              <w:rPr>
                <w:rFonts w:ascii="Times New Roman" w:hAnsi="Times New Roman"/>
                <w:b/>
                <w:u w:val="single"/>
                <w:lang w:val="en-GB"/>
              </w:rPr>
              <w:t>BMB</w:t>
            </w:r>
            <w:r w:rsidR="00577583" w:rsidRPr="00577583">
              <w:rPr>
                <w:rFonts w:ascii="Times New Roman" w:hAnsi="Times New Roman"/>
                <w:lang w:val="en-GB"/>
              </w:rPr>
              <w:t xml:space="preserve"> </w:t>
            </w:r>
            <w:r w:rsidRPr="00F061AC">
              <w:rPr>
                <w:rFonts w:ascii="Times New Roman" w:hAnsi="Times New Roman"/>
                <w:lang w:val="en-GB"/>
              </w:rPr>
              <w:t>through suppliers network of fuel stations in each of the following districts:</w:t>
            </w:r>
          </w:p>
          <w:p w:rsidR="00F1195A" w:rsidRDefault="00F1195A" w:rsidP="00F1195A">
            <w:pPr>
              <w:snapToGrid w:val="0"/>
              <w:jc w:val="both"/>
              <w:rPr>
                <w:rFonts w:ascii="Times New Roman" w:hAnsi="Times New Roman"/>
                <w:lang w:val="en-GB"/>
              </w:rPr>
            </w:pPr>
            <w:r w:rsidRPr="00F061AC">
              <w:rPr>
                <w:rFonts w:ascii="Times New Roman" w:hAnsi="Times New Roman"/>
                <w:lang w:val="en-GB"/>
              </w:rPr>
              <w:t>City of Belgrade</w:t>
            </w:r>
          </w:p>
          <w:p w:rsidR="00F1195A" w:rsidRDefault="00F1195A" w:rsidP="00F1195A">
            <w:pPr>
              <w:snapToGrid w:val="0"/>
              <w:jc w:val="both"/>
              <w:rPr>
                <w:rFonts w:ascii="Times New Roman" w:hAnsi="Times New Roman"/>
                <w:lang w:val="en-GB"/>
              </w:rPr>
            </w:pPr>
            <w:r w:rsidRPr="00F061AC">
              <w:rPr>
                <w:rFonts w:ascii="Times New Roman" w:hAnsi="Times New Roman"/>
                <w:lang w:val="en-GB"/>
              </w:rPr>
              <w:t>North Bač</w:t>
            </w:r>
            <w:r>
              <w:rPr>
                <w:rFonts w:ascii="Times New Roman" w:hAnsi="Times New Roman"/>
                <w:lang w:val="en-GB"/>
              </w:rPr>
              <w:t>ka District</w:t>
            </w:r>
          </w:p>
          <w:p w:rsidR="00F1195A" w:rsidRPr="00F061AC" w:rsidRDefault="00F1195A" w:rsidP="00F1195A">
            <w:pPr>
              <w:snapToGrid w:val="0"/>
              <w:spacing w:after="0"/>
              <w:rPr>
                <w:rFonts w:ascii="Times New Roman" w:hAnsi="Times New Roman"/>
                <w:lang w:val="en-GB"/>
              </w:rPr>
            </w:pPr>
            <w:r>
              <w:rPr>
                <w:rFonts w:ascii="Times New Roman" w:hAnsi="Times New Roman"/>
                <w:lang w:val="en-GB"/>
              </w:rPr>
              <w:t>Central Bačka District</w:t>
            </w:r>
          </w:p>
          <w:p w:rsidR="00F1195A" w:rsidRPr="00F061AC" w:rsidRDefault="00F1195A" w:rsidP="00F1195A">
            <w:pPr>
              <w:snapToGrid w:val="0"/>
              <w:spacing w:after="0"/>
              <w:rPr>
                <w:rFonts w:ascii="Times New Roman" w:hAnsi="Times New Roman"/>
                <w:lang w:val="en-GB"/>
              </w:rPr>
            </w:pPr>
            <w:r>
              <w:rPr>
                <w:rFonts w:ascii="Times New Roman" w:hAnsi="Times New Roman"/>
                <w:lang w:val="en-GB"/>
              </w:rPr>
              <w:t>South Bačka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 xml:space="preserve">North </w:t>
            </w:r>
            <w:r>
              <w:rPr>
                <w:rFonts w:ascii="Times New Roman" w:hAnsi="Times New Roman"/>
                <w:lang w:val="en-GB"/>
              </w:rPr>
              <w:t>Srem District</w:t>
            </w:r>
          </w:p>
          <w:p w:rsidR="00F1195A" w:rsidRPr="00F061AC" w:rsidRDefault="00F1195A" w:rsidP="00F1195A">
            <w:pPr>
              <w:snapToGrid w:val="0"/>
              <w:spacing w:after="0"/>
              <w:rPr>
                <w:rFonts w:ascii="Times New Roman" w:hAnsi="Times New Roman"/>
                <w:lang w:val="en-GB"/>
              </w:rPr>
            </w:pPr>
            <w:r>
              <w:rPr>
                <w:rFonts w:ascii="Times New Roman" w:hAnsi="Times New Roman"/>
                <w:lang w:val="en-GB"/>
              </w:rPr>
              <w:t>Banatski District</w:t>
            </w:r>
          </w:p>
          <w:p w:rsidR="00F1195A" w:rsidRPr="00F061AC" w:rsidRDefault="00F1195A" w:rsidP="00F1195A">
            <w:pPr>
              <w:snapToGrid w:val="0"/>
              <w:spacing w:after="0"/>
              <w:rPr>
                <w:rFonts w:ascii="Times New Roman" w:hAnsi="Times New Roman"/>
                <w:lang w:val="en-GB"/>
              </w:rPr>
            </w:pPr>
            <w:r>
              <w:rPr>
                <w:rFonts w:ascii="Times New Roman" w:hAnsi="Times New Roman"/>
                <w:lang w:val="en-GB"/>
              </w:rPr>
              <w:t>Central Banat District</w:t>
            </w:r>
          </w:p>
          <w:p w:rsidR="00F1195A" w:rsidRPr="00F061AC" w:rsidRDefault="00F1195A" w:rsidP="00F1195A">
            <w:pPr>
              <w:snapToGrid w:val="0"/>
              <w:spacing w:after="0"/>
              <w:rPr>
                <w:rFonts w:ascii="Times New Roman" w:hAnsi="Times New Roman"/>
                <w:lang w:val="en-GB"/>
              </w:rPr>
            </w:pPr>
            <w:r>
              <w:rPr>
                <w:rFonts w:ascii="Times New Roman" w:hAnsi="Times New Roman"/>
                <w:lang w:val="en-GB"/>
              </w:rPr>
              <w:t>South Banat District</w:t>
            </w:r>
          </w:p>
          <w:p w:rsidR="00F1195A" w:rsidRPr="00F061AC" w:rsidRDefault="00F1195A" w:rsidP="00F1195A">
            <w:pPr>
              <w:snapToGrid w:val="0"/>
              <w:spacing w:after="0"/>
              <w:rPr>
                <w:rFonts w:ascii="Times New Roman" w:hAnsi="Times New Roman"/>
                <w:lang w:val="en-GB"/>
              </w:rPr>
            </w:pPr>
            <w:r>
              <w:rPr>
                <w:rFonts w:ascii="Times New Roman" w:hAnsi="Times New Roman"/>
                <w:lang w:val="en-GB"/>
              </w:rPr>
              <w:t>Pčinjski District</w:t>
            </w:r>
            <w:r w:rsidRPr="00F061AC">
              <w:rPr>
                <w:rFonts w:ascii="Times New Roman" w:hAnsi="Times New Roman"/>
                <w:lang w:val="en-GB"/>
              </w:rPr>
              <w:t xml:space="preserve"> </w:t>
            </w:r>
          </w:p>
          <w:p w:rsidR="00F1195A" w:rsidRPr="00F061AC" w:rsidRDefault="00F1195A" w:rsidP="00F1195A">
            <w:pPr>
              <w:snapToGrid w:val="0"/>
              <w:spacing w:after="0"/>
              <w:rPr>
                <w:rFonts w:ascii="Times New Roman" w:hAnsi="Times New Roman"/>
                <w:lang w:val="en-GB"/>
              </w:rPr>
            </w:pPr>
            <w:r>
              <w:rPr>
                <w:rFonts w:ascii="Times New Roman" w:hAnsi="Times New Roman"/>
                <w:lang w:val="en-GB"/>
              </w:rPr>
              <w:t>Mačvanski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Zlatibor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Raški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Braničevo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Jablanicki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 xml:space="preserve">Kolubarski District </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Moravicki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Pirotski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Podunavski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Pomoravski District</w:t>
            </w:r>
          </w:p>
          <w:p w:rsidR="00301346" w:rsidRPr="00D10EF9" w:rsidRDefault="00301346" w:rsidP="00301346">
            <w:pPr>
              <w:rPr>
                <w:rFonts w:ascii="Times New Roman" w:hAnsi="Times New Roman"/>
                <w:b/>
                <w:highlight w:val="yellow"/>
                <w:lang w:val="en-GB"/>
              </w:rPr>
            </w:pPr>
          </w:p>
        </w:tc>
        <w:tc>
          <w:tcPr>
            <w:tcW w:w="4253" w:type="dxa"/>
            <w:vAlign w:val="center"/>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301346" w:rsidRPr="00034B1D" w:rsidRDefault="00301346" w:rsidP="00301346">
            <w:pPr>
              <w:rPr>
                <w:rFonts w:ascii="Times New Roman" w:hAnsi="Times New Roman"/>
                <w:b/>
                <w:highlight w:val="green"/>
                <w:lang w:val="en-GB"/>
              </w:rPr>
            </w:pPr>
          </w:p>
        </w:tc>
        <w:tc>
          <w:tcPr>
            <w:tcW w:w="4678" w:type="dxa"/>
            <w:vAlign w:val="center"/>
          </w:tcPr>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Rasinski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Toplicki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Sumadijski District</w:t>
            </w:r>
          </w:p>
          <w:p w:rsidR="00F1195A" w:rsidRPr="00F061AC" w:rsidRDefault="00F1195A" w:rsidP="00F1195A">
            <w:pPr>
              <w:snapToGrid w:val="0"/>
              <w:spacing w:after="0"/>
              <w:rPr>
                <w:rFonts w:ascii="Times New Roman" w:hAnsi="Times New Roman"/>
                <w:lang w:val="en-GB"/>
              </w:rPr>
            </w:pPr>
            <w:r>
              <w:rPr>
                <w:rFonts w:ascii="Times New Roman" w:hAnsi="Times New Roman"/>
                <w:lang w:val="en-GB"/>
              </w:rPr>
              <w:t>Nišavski District</w:t>
            </w:r>
          </w:p>
          <w:p w:rsidR="00F1195A" w:rsidRPr="00F061AC" w:rsidRDefault="00F1195A" w:rsidP="00F1195A">
            <w:pPr>
              <w:snapToGrid w:val="0"/>
              <w:spacing w:after="0"/>
              <w:rPr>
                <w:rFonts w:ascii="Times New Roman" w:hAnsi="Times New Roman"/>
                <w:lang w:val="en-GB"/>
              </w:rPr>
            </w:pPr>
            <w:r>
              <w:rPr>
                <w:rFonts w:ascii="Times New Roman" w:hAnsi="Times New Roman"/>
                <w:lang w:val="en-GB"/>
              </w:rPr>
              <w:t>Borski District</w:t>
            </w:r>
          </w:p>
          <w:p w:rsidR="00F1195A" w:rsidRPr="00F061AC" w:rsidRDefault="00F1195A" w:rsidP="00F1195A">
            <w:pPr>
              <w:snapToGrid w:val="0"/>
              <w:spacing w:after="0"/>
              <w:rPr>
                <w:rFonts w:ascii="Times New Roman" w:hAnsi="Times New Roman"/>
                <w:lang w:val="en-GB"/>
              </w:rPr>
            </w:pPr>
            <w:r w:rsidRPr="00F061AC">
              <w:rPr>
                <w:rFonts w:ascii="Times New Roman" w:hAnsi="Times New Roman"/>
                <w:lang w:val="en-GB"/>
              </w:rPr>
              <w:t>Zaječarski District</w:t>
            </w:r>
          </w:p>
          <w:p w:rsidR="00F1195A" w:rsidRPr="00F061AC" w:rsidRDefault="00F1195A" w:rsidP="00F1195A">
            <w:pPr>
              <w:snapToGrid w:val="0"/>
              <w:spacing w:after="0"/>
              <w:rPr>
                <w:rFonts w:ascii="Times New Roman" w:hAnsi="Times New Roman"/>
                <w:lang w:val="en-GB"/>
              </w:rPr>
            </w:pPr>
          </w:p>
          <w:p w:rsidR="00F1195A" w:rsidRDefault="00F1195A" w:rsidP="00F1195A">
            <w:pPr>
              <w:snapToGrid w:val="0"/>
              <w:jc w:val="both"/>
              <w:rPr>
                <w:rFonts w:ascii="Times New Roman" w:hAnsi="Times New Roman"/>
                <w:lang w:val="en-GB"/>
              </w:rPr>
            </w:pPr>
            <w:r w:rsidRPr="00F061AC">
              <w:rPr>
                <w:rFonts w:ascii="Times New Roman" w:hAnsi="Times New Roman"/>
                <w:lang w:val="en-GB"/>
              </w:rPr>
              <w:t xml:space="preserve">- Supplied Fuel must conform in all respects with the requirements specified in the standard </w:t>
            </w:r>
            <w:r w:rsidRPr="003F26B2">
              <w:rPr>
                <w:rFonts w:ascii="Times New Roman" w:hAnsi="Times New Roman"/>
                <w:b/>
                <w:lang w:val="en-GB"/>
              </w:rPr>
              <w:t>SRPS EN590 and SRPS EN228:2017</w:t>
            </w:r>
            <w:r w:rsidRPr="00F061AC">
              <w:rPr>
                <w:rFonts w:ascii="Times New Roman" w:hAnsi="Times New Roman"/>
                <w:lang w:val="en-GB"/>
              </w:rPr>
              <w:t xml:space="preserve"> (or equivalent) </w:t>
            </w:r>
          </w:p>
          <w:p w:rsidR="00F1195A" w:rsidRPr="00105E43" w:rsidRDefault="00F1195A" w:rsidP="00F1195A">
            <w:pPr>
              <w:snapToGrid w:val="0"/>
              <w:jc w:val="both"/>
              <w:rPr>
                <w:rFonts w:ascii="Times New Roman" w:hAnsi="Times New Roman"/>
                <w:b/>
                <w:sz w:val="22"/>
                <w:szCs w:val="22"/>
                <w:lang w:val="en-GB"/>
              </w:rPr>
            </w:pPr>
            <w:r w:rsidRPr="0004141C">
              <w:rPr>
                <w:rFonts w:ascii="Times New Roman" w:hAnsi="Times New Roman"/>
                <w:b/>
                <w:lang w:val="en-GB"/>
              </w:rPr>
              <w:t xml:space="preserve">- </w:t>
            </w:r>
            <w:r w:rsidR="00105E43">
              <w:rPr>
                <w:rFonts w:ascii="Times New Roman" w:hAnsi="Times New Roman"/>
                <w:b/>
                <w:lang w:val="en-GB"/>
              </w:rPr>
              <w:t xml:space="preserve"> </w:t>
            </w:r>
            <w:r w:rsidR="00105E43" w:rsidRPr="00105E43">
              <w:rPr>
                <w:rFonts w:ascii="Times New Roman" w:hAnsi="Times New Roman"/>
                <w:b/>
                <w:sz w:val="22"/>
                <w:szCs w:val="22"/>
                <w:lang w:val="en-GB"/>
              </w:rPr>
              <w:t>7</w:t>
            </w:r>
            <w:r w:rsidR="005606E6">
              <w:rPr>
                <w:rFonts w:ascii="Times New Roman" w:hAnsi="Times New Roman"/>
                <w:b/>
                <w:sz w:val="22"/>
                <w:szCs w:val="22"/>
                <w:lang w:val="en-GB"/>
              </w:rPr>
              <w:t>0</w:t>
            </w:r>
            <w:r w:rsidR="00105E43" w:rsidRPr="00105E43">
              <w:rPr>
                <w:rFonts w:ascii="Times New Roman" w:hAnsi="Times New Roman"/>
                <w:b/>
                <w:sz w:val="22"/>
                <w:szCs w:val="22"/>
                <w:lang w:val="en-GB"/>
              </w:rPr>
              <w:t>.000</w:t>
            </w:r>
            <w:r w:rsidR="0044496B" w:rsidRPr="00105E43">
              <w:rPr>
                <w:rFonts w:ascii="Times New Roman" w:hAnsi="Times New Roman"/>
                <w:b/>
                <w:sz w:val="22"/>
                <w:szCs w:val="22"/>
                <w:lang w:val="en-GB"/>
              </w:rPr>
              <w:t xml:space="preserve"> </w:t>
            </w:r>
            <w:r w:rsidRPr="00105E43">
              <w:rPr>
                <w:rFonts w:ascii="Times New Roman" w:hAnsi="Times New Roman"/>
                <w:b/>
                <w:sz w:val="22"/>
                <w:szCs w:val="22"/>
                <w:lang w:val="en-GB"/>
              </w:rPr>
              <w:t xml:space="preserve">l Euro diesel </w:t>
            </w:r>
          </w:p>
          <w:p w:rsidR="00F1195A" w:rsidRPr="0004141C" w:rsidRDefault="00F1195A" w:rsidP="00F1195A">
            <w:pPr>
              <w:snapToGrid w:val="0"/>
              <w:jc w:val="both"/>
              <w:rPr>
                <w:rFonts w:ascii="Times New Roman" w:hAnsi="Times New Roman"/>
                <w:b/>
                <w:sz w:val="22"/>
                <w:szCs w:val="22"/>
                <w:lang w:val="en-GB"/>
              </w:rPr>
            </w:pPr>
            <w:r w:rsidRPr="00105E43">
              <w:rPr>
                <w:rFonts w:ascii="Times New Roman" w:hAnsi="Times New Roman"/>
                <w:b/>
                <w:sz w:val="22"/>
                <w:szCs w:val="22"/>
                <w:lang w:val="en-GB"/>
              </w:rPr>
              <w:t>-</w:t>
            </w:r>
            <w:r w:rsidR="0090021A" w:rsidRPr="00105E43">
              <w:rPr>
                <w:rFonts w:ascii="Times New Roman" w:hAnsi="Times New Roman"/>
                <w:b/>
                <w:sz w:val="22"/>
                <w:szCs w:val="22"/>
                <w:lang w:val="en-GB"/>
              </w:rPr>
              <w:t xml:space="preserve">  </w:t>
            </w:r>
            <w:r w:rsidR="00E87856" w:rsidRPr="00105E43">
              <w:rPr>
                <w:rFonts w:ascii="Times New Roman" w:hAnsi="Times New Roman"/>
                <w:b/>
                <w:sz w:val="22"/>
                <w:szCs w:val="22"/>
                <w:lang w:val="en-GB"/>
              </w:rPr>
              <w:t xml:space="preserve"> </w:t>
            </w:r>
            <w:r w:rsidR="005606E6">
              <w:rPr>
                <w:rFonts w:ascii="Times New Roman" w:hAnsi="Times New Roman"/>
                <w:b/>
                <w:sz w:val="22"/>
                <w:szCs w:val="22"/>
                <w:lang w:val="en-GB"/>
              </w:rPr>
              <w:t>15</w:t>
            </w:r>
            <w:r w:rsidR="0090021A" w:rsidRPr="00105E43">
              <w:rPr>
                <w:rFonts w:ascii="Times New Roman" w:hAnsi="Times New Roman"/>
                <w:b/>
                <w:sz w:val="22"/>
                <w:szCs w:val="22"/>
                <w:lang w:val="en-GB"/>
              </w:rPr>
              <w:t>.</w:t>
            </w:r>
            <w:r w:rsidR="005606E6">
              <w:rPr>
                <w:rFonts w:ascii="Times New Roman" w:hAnsi="Times New Roman"/>
                <w:b/>
                <w:sz w:val="22"/>
                <w:szCs w:val="22"/>
                <w:lang w:val="en-GB"/>
              </w:rPr>
              <w:t>0</w:t>
            </w:r>
            <w:r w:rsidR="0090021A" w:rsidRPr="00105E43">
              <w:rPr>
                <w:rFonts w:ascii="Times New Roman" w:hAnsi="Times New Roman"/>
                <w:b/>
                <w:sz w:val="22"/>
                <w:szCs w:val="22"/>
                <w:lang w:val="en-GB"/>
              </w:rPr>
              <w:t>00</w:t>
            </w:r>
            <w:r w:rsidRPr="00105E43">
              <w:rPr>
                <w:rFonts w:ascii="Times New Roman" w:hAnsi="Times New Roman"/>
                <w:b/>
                <w:sz w:val="22"/>
                <w:szCs w:val="22"/>
                <w:lang w:val="en-GB"/>
              </w:rPr>
              <w:t xml:space="preserve"> l </w:t>
            </w:r>
            <w:r w:rsidR="001021B0" w:rsidRPr="00105E43">
              <w:rPr>
                <w:rFonts w:ascii="Times New Roman" w:hAnsi="Times New Roman"/>
                <w:b/>
                <w:sz w:val="22"/>
                <w:szCs w:val="22"/>
                <w:lang w:val="en-GB"/>
              </w:rPr>
              <w:t>G</w:t>
            </w:r>
            <w:r w:rsidRPr="00105E43">
              <w:rPr>
                <w:rFonts w:ascii="Times New Roman" w:hAnsi="Times New Roman"/>
                <w:b/>
                <w:sz w:val="22"/>
                <w:szCs w:val="22"/>
                <w:lang w:val="en-GB"/>
              </w:rPr>
              <w:t>asoline</w:t>
            </w:r>
            <w:r w:rsidR="0060210A" w:rsidRPr="00105E43">
              <w:rPr>
                <w:rFonts w:ascii="Times New Roman" w:hAnsi="Times New Roman"/>
                <w:b/>
                <w:sz w:val="22"/>
                <w:szCs w:val="22"/>
                <w:lang w:val="en-GB"/>
              </w:rPr>
              <w:t xml:space="preserve"> BMB</w:t>
            </w:r>
            <w:bookmarkStart w:id="1" w:name="_GoBack"/>
            <w:bookmarkEnd w:id="1"/>
          </w:p>
          <w:p w:rsidR="00105E43" w:rsidRDefault="00105E43" w:rsidP="00301346">
            <w:pPr>
              <w:rPr>
                <w:rFonts w:ascii="Times New Roman" w:hAnsi="Times New Roman"/>
                <w:highlight w:val="yellow"/>
                <w:lang w:val="en-GB"/>
              </w:rPr>
            </w:pPr>
          </w:p>
          <w:p w:rsidR="00105E43" w:rsidRPr="00105E43" w:rsidRDefault="00105E43" w:rsidP="00105E43">
            <w:pPr>
              <w:rPr>
                <w:rFonts w:ascii="Times New Roman" w:hAnsi="Times New Roman"/>
                <w:highlight w:val="yellow"/>
                <w:lang w:val="en-GB"/>
              </w:rPr>
            </w:pPr>
          </w:p>
          <w:p w:rsidR="00105E43" w:rsidRPr="00105E43" w:rsidRDefault="00105E43" w:rsidP="00105E43">
            <w:pPr>
              <w:rPr>
                <w:rFonts w:ascii="Times New Roman" w:hAnsi="Times New Roman"/>
                <w:highlight w:val="yellow"/>
                <w:lang w:val="en-GB"/>
              </w:rPr>
            </w:pPr>
          </w:p>
          <w:p w:rsidR="00105E43" w:rsidRPr="00105E43" w:rsidRDefault="00105E43" w:rsidP="00105E43">
            <w:pPr>
              <w:rPr>
                <w:rFonts w:ascii="Times New Roman" w:hAnsi="Times New Roman"/>
                <w:highlight w:val="yellow"/>
                <w:lang w:val="en-GB"/>
              </w:rPr>
            </w:pPr>
          </w:p>
          <w:p w:rsidR="00105E43" w:rsidRPr="00105E43" w:rsidRDefault="00105E43" w:rsidP="00105E43">
            <w:pPr>
              <w:rPr>
                <w:rFonts w:ascii="Times New Roman" w:hAnsi="Times New Roman"/>
                <w:highlight w:val="yellow"/>
                <w:lang w:val="en-GB"/>
              </w:rPr>
            </w:pPr>
          </w:p>
          <w:p w:rsidR="00105E43" w:rsidRPr="00105E43" w:rsidRDefault="00105E43" w:rsidP="00105E43">
            <w:pPr>
              <w:rPr>
                <w:rFonts w:ascii="Times New Roman" w:hAnsi="Times New Roman"/>
                <w:highlight w:val="yellow"/>
                <w:lang w:val="en-GB"/>
              </w:rPr>
            </w:pPr>
          </w:p>
          <w:p w:rsidR="00105E43" w:rsidRPr="00105E43" w:rsidRDefault="00105E43" w:rsidP="00105E43">
            <w:pPr>
              <w:rPr>
                <w:rFonts w:ascii="Times New Roman" w:hAnsi="Times New Roman"/>
                <w:highlight w:val="yellow"/>
                <w:lang w:val="en-GB"/>
              </w:rPr>
            </w:pPr>
          </w:p>
          <w:p w:rsidR="00105E43" w:rsidRPr="00105E43" w:rsidRDefault="00105E43" w:rsidP="00105E43">
            <w:pPr>
              <w:rPr>
                <w:rFonts w:ascii="Times New Roman" w:hAnsi="Times New Roman"/>
                <w:highlight w:val="yellow"/>
                <w:lang w:val="en-GB"/>
              </w:rPr>
            </w:pPr>
          </w:p>
          <w:p w:rsidR="00301346" w:rsidRPr="00105E43" w:rsidRDefault="00301346" w:rsidP="00105E43">
            <w:pPr>
              <w:rPr>
                <w:rFonts w:ascii="Times New Roman" w:hAnsi="Times New Roman"/>
                <w:highlight w:val="yellow"/>
                <w:lang w:val="en-GB"/>
              </w:rPr>
            </w:pPr>
          </w:p>
        </w:tc>
        <w:tc>
          <w:tcPr>
            <w:tcW w:w="4253" w:type="dxa"/>
            <w:vAlign w:val="center"/>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trPr>
          <w:cantSplit/>
        </w:trPr>
        <w:tc>
          <w:tcPr>
            <w:tcW w:w="1134" w:type="dxa"/>
          </w:tcPr>
          <w:p w:rsidR="00301346" w:rsidRPr="000726B9" w:rsidRDefault="00F1195A" w:rsidP="00301346">
            <w:pPr>
              <w:rPr>
                <w:rFonts w:ascii="Times New Roman" w:hAnsi="Times New Roman"/>
                <w:b/>
                <w:highlight w:val="green"/>
                <w:lang w:val="en-GB"/>
              </w:rPr>
            </w:pPr>
            <w:r w:rsidRPr="002C2258">
              <w:rPr>
                <w:rFonts w:ascii="Times New Roman" w:hAnsi="Times New Roman"/>
                <w:b/>
                <w:lang w:val="en-GB"/>
              </w:rPr>
              <w:lastRenderedPageBreak/>
              <w:t>2</w:t>
            </w:r>
          </w:p>
        </w:tc>
        <w:tc>
          <w:tcPr>
            <w:tcW w:w="4678" w:type="dxa"/>
            <w:vAlign w:val="center"/>
          </w:tcPr>
          <w:p w:rsidR="00F1195A" w:rsidRPr="00DB738F" w:rsidRDefault="00F1195A" w:rsidP="00F1195A">
            <w:pPr>
              <w:snapToGrid w:val="0"/>
              <w:rPr>
                <w:rFonts w:ascii="Times New Roman" w:hAnsi="Times New Roman"/>
                <w:b/>
                <w:u w:val="single"/>
                <w:lang w:val="en-GB"/>
              </w:rPr>
            </w:pPr>
            <w:r w:rsidRPr="00DB738F">
              <w:rPr>
                <w:rFonts w:ascii="Times New Roman" w:hAnsi="Times New Roman"/>
                <w:b/>
                <w:u w:val="single"/>
                <w:lang w:val="en-GB"/>
              </w:rPr>
              <w:t xml:space="preserve">Specific requirements of company/corporative </w:t>
            </w:r>
            <w:r w:rsidRPr="00D64CA9">
              <w:rPr>
                <w:rFonts w:ascii="Times New Roman" w:hAnsi="Times New Roman"/>
                <w:b/>
                <w:u w:val="single"/>
                <w:lang w:val="en-GB"/>
              </w:rPr>
              <w:t>debit fuel</w:t>
            </w:r>
            <w:r w:rsidRPr="00DB738F">
              <w:rPr>
                <w:rFonts w:ascii="Times New Roman" w:hAnsi="Times New Roman"/>
                <w:b/>
                <w:u w:val="single"/>
                <w:lang w:val="en-GB"/>
              </w:rPr>
              <w:t xml:space="preserve"> cards and fuel consumption monitoring system</w:t>
            </w:r>
          </w:p>
          <w:p w:rsidR="00F1195A" w:rsidRPr="00DB738F" w:rsidRDefault="00F1195A" w:rsidP="00F1195A">
            <w:pPr>
              <w:snapToGrid w:val="0"/>
              <w:rPr>
                <w:rFonts w:ascii="Times New Roman" w:hAnsi="Times New Roman"/>
                <w:lang w:val="en-GB"/>
              </w:rPr>
            </w:pPr>
            <w:r w:rsidRPr="00DB738F">
              <w:rPr>
                <w:rFonts w:ascii="Times New Roman" w:hAnsi="Times New Roman"/>
                <w:lang w:val="en-GB"/>
              </w:rPr>
              <w:t>Fuel cards and corresponding fuel consumption monitoring system must have the following minimum technical requirements (or equivalent):</w:t>
            </w:r>
          </w:p>
          <w:p w:rsidR="00F1195A" w:rsidRPr="003D1667" w:rsidRDefault="00F1195A" w:rsidP="00F1195A">
            <w:pPr>
              <w:snapToGrid w:val="0"/>
              <w:spacing w:after="0"/>
              <w:rPr>
                <w:rFonts w:ascii="Times New Roman" w:hAnsi="Times New Roman"/>
                <w:lang w:val="en-GB"/>
              </w:rPr>
            </w:pPr>
            <w:r w:rsidRPr="003D1667">
              <w:rPr>
                <w:rFonts w:ascii="Times New Roman" w:hAnsi="Times New Roman"/>
                <w:lang w:val="en-GB"/>
              </w:rPr>
              <w:t xml:space="preserve">a) </w:t>
            </w:r>
            <w:r w:rsidRPr="003D1667">
              <w:rPr>
                <w:rFonts w:ascii="Times New Roman" w:hAnsi="Times New Roman"/>
                <w:b/>
                <w:u w:val="single"/>
                <w:lang w:val="en-GB"/>
              </w:rPr>
              <w:t>Electronic reports</w:t>
            </w:r>
            <w:r w:rsidRPr="003D1667">
              <w:rPr>
                <w:rFonts w:ascii="Times New Roman" w:hAnsi="Times New Roman"/>
                <w:lang w:val="en-GB"/>
              </w:rPr>
              <w:t xml:space="preserve"> on each </w:t>
            </w:r>
            <w:r w:rsidRPr="003D1667">
              <w:rPr>
                <w:rFonts w:ascii="Times New Roman" w:hAnsi="Times New Roman"/>
                <w:b/>
                <w:lang w:val="en-GB"/>
              </w:rPr>
              <w:t>individual vehicle refuelling</w:t>
            </w:r>
            <w:r w:rsidRPr="003D1667">
              <w:rPr>
                <w:rFonts w:ascii="Times New Roman" w:hAnsi="Times New Roman"/>
                <w:lang w:val="en-GB"/>
              </w:rPr>
              <w:t xml:space="preserve"> including:</w:t>
            </w:r>
          </w:p>
          <w:p w:rsidR="00F1195A" w:rsidRPr="003D1667" w:rsidRDefault="00F1195A" w:rsidP="00F1195A">
            <w:pPr>
              <w:snapToGrid w:val="0"/>
              <w:spacing w:after="0"/>
              <w:rPr>
                <w:rFonts w:ascii="Times New Roman" w:hAnsi="Times New Roman"/>
                <w:lang w:val="en-GB"/>
              </w:rPr>
            </w:pPr>
            <w:r w:rsidRPr="003D1667">
              <w:rPr>
                <w:rFonts w:ascii="Times New Roman" w:hAnsi="Times New Roman"/>
                <w:lang w:val="en-GB"/>
              </w:rPr>
              <w:t>•  Date and time of the refuelling</w:t>
            </w:r>
            <w:r w:rsidRPr="003D1667">
              <w:rPr>
                <w:rFonts w:ascii="Times New Roman" w:hAnsi="Times New Roman"/>
                <w:lang w:val="en-GB"/>
              </w:rPr>
              <w:br/>
              <w:t>•  Location of the refuelling</w:t>
            </w:r>
            <w:r w:rsidRPr="003D1667">
              <w:rPr>
                <w:rFonts w:ascii="Times New Roman" w:hAnsi="Times New Roman"/>
                <w:lang w:val="en-GB"/>
              </w:rPr>
              <w:br/>
              <w:t>•  Exact quantity and type of fuel added to the vehicle’s fuel tank</w:t>
            </w:r>
          </w:p>
          <w:p w:rsidR="00F1195A" w:rsidRPr="003D1667" w:rsidRDefault="00F1195A" w:rsidP="00F1195A">
            <w:pPr>
              <w:snapToGrid w:val="0"/>
              <w:spacing w:after="0"/>
              <w:rPr>
                <w:rFonts w:ascii="Times New Roman" w:hAnsi="Times New Roman"/>
                <w:lang w:val="en-GB"/>
              </w:rPr>
            </w:pPr>
            <w:r w:rsidRPr="003D1667">
              <w:rPr>
                <w:rFonts w:ascii="Times New Roman" w:hAnsi="Times New Roman"/>
                <w:lang w:val="en-GB"/>
              </w:rPr>
              <w:t>•</w:t>
            </w:r>
            <w:r w:rsidRPr="003D1667">
              <w:rPr>
                <w:rFonts w:ascii="Times New Roman" w:hAnsi="Times New Roman"/>
                <w:color w:val="FF0000"/>
                <w:lang w:val="en-GB"/>
              </w:rPr>
              <w:t xml:space="preserve">  </w:t>
            </w:r>
            <w:r w:rsidRPr="003D1667">
              <w:rPr>
                <w:rFonts w:ascii="Times New Roman" w:hAnsi="Times New Roman"/>
                <w:lang w:val="en-GB"/>
              </w:rPr>
              <w:t>Price per litre at the time of refuelling</w:t>
            </w:r>
          </w:p>
          <w:p w:rsidR="00F1195A" w:rsidRPr="006847F1" w:rsidRDefault="00F1195A" w:rsidP="00F1195A">
            <w:pPr>
              <w:spacing w:after="0"/>
              <w:rPr>
                <w:rFonts w:ascii="Times New Roman" w:hAnsi="Times New Roman"/>
                <w:lang w:val="en-GB"/>
              </w:rPr>
            </w:pPr>
            <w:r w:rsidRPr="006847F1">
              <w:rPr>
                <w:rFonts w:ascii="Times New Roman" w:hAnsi="Times New Roman"/>
                <w:lang w:val="en-GB"/>
              </w:rPr>
              <w:t>•  Registration number of refuelled SCRM vehicle,</w:t>
            </w:r>
          </w:p>
          <w:p w:rsidR="00301346" w:rsidRPr="00D10EF9" w:rsidRDefault="00F1195A" w:rsidP="00F1195A">
            <w:pPr>
              <w:rPr>
                <w:rFonts w:ascii="Times New Roman" w:hAnsi="Times New Roman"/>
                <w:b/>
                <w:highlight w:val="yellow"/>
                <w:lang w:val="en-GB"/>
              </w:rPr>
            </w:pPr>
            <w:r w:rsidRPr="006847F1">
              <w:rPr>
                <w:rFonts w:ascii="Times New Roman" w:hAnsi="Times New Roman"/>
                <w:lang w:val="en-GB"/>
              </w:rPr>
              <w:t>•  Vehicle mileage at the moment of refuelling</w:t>
            </w:r>
            <w:r w:rsidRPr="006847F1">
              <w:rPr>
                <w:rFonts w:ascii="Times New Roman" w:hAnsi="Times New Roman"/>
                <w:lang w:val="en-GB"/>
              </w:rPr>
              <w:br/>
            </w:r>
          </w:p>
        </w:tc>
        <w:tc>
          <w:tcPr>
            <w:tcW w:w="4253" w:type="dxa"/>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tcPr>
          <w:p w:rsidR="00F1195A" w:rsidRPr="006847F1" w:rsidRDefault="00F1195A" w:rsidP="00F1195A">
            <w:pPr>
              <w:snapToGrid w:val="0"/>
              <w:spacing w:after="0"/>
              <w:rPr>
                <w:rFonts w:ascii="Times New Roman" w:hAnsi="Times New Roman"/>
                <w:lang w:val="en-GB"/>
              </w:rPr>
            </w:pPr>
            <w:r w:rsidRPr="006847F1">
              <w:rPr>
                <w:rFonts w:ascii="Times New Roman" w:hAnsi="Times New Roman"/>
                <w:lang w:val="en-GB"/>
              </w:rPr>
              <w:t xml:space="preserve">b) </w:t>
            </w:r>
            <w:r w:rsidRPr="006847F1">
              <w:rPr>
                <w:rFonts w:ascii="Times New Roman" w:hAnsi="Times New Roman"/>
                <w:b/>
                <w:u w:val="single"/>
                <w:lang w:val="en-GB"/>
              </w:rPr>
              <w:t>Bulk reports</w:t>
            </w:r>
            <w:r w:rsidRPr="006847F1">
              <w:rPr>
                <w:rFonts w:ascii="Times New Roman" w:hAnsi="Times New Roman"/>
                <w:b/>
                <w:lang w:val="en-GB"/>
              </w:rPr>
              <w:t xml:space="preserve"> </w:t>
            </w:r>
            <w:r w:rsidRPr="006847F1">
              <w:rPr>
                <w:rFonts w:ascii="Times New Roman" w:hAnsi="Times New Roman"/>
                <w:lang w:val="en-GB"/>
              </w:rPr>
              <w:t xml:space="preserve">– electronic report on all </w:t>
            </w:r>
            <w:r>
              <w:rPr>
                <w:rFonts w:ascii="Times New Roman" w:hAnsi="Times New Roman"/>
                <w:lang w:val="en-GB"/>
              </w:rPr>
              <w:t>SCRM</w:t>
            </w:r>
            <w:r w:rsidRPr="006847F1">
              <w:rPr>
                <w:rFonts w:ascii="Times New Roman" w:hAnsi="Times New Roman"/>
                <w:lang w:val="en-GB"/>
              </w:rPr>
              <w:t xml:space="preserve"> vehicles refuelling including:</w:t>
            </w:r>
            <w:r w:rsidRPr="006847F1">
              <w:rPr>
                <w:rFonts w:ascii="Times New Roman" w:hAnsi="Times New Roman"/>
                <w:lang w:val="en-GB"/>
              </w:rPr>
              <w:br/>
              <w:t>•  Date and time of the refuelling</w:t>
            </w:r>
            <w:r w:rsidRPr="006847F1">
              <w:rPr>
                <w:rFonts w:ascii="Times New Roman" w:hAnsi="Times New Roman"/>
                <w:lang w:val="en-GB"/>
              </w:rPr>
              <w:br/>
              <w:t>•  Location of the refuelling</w:t>
            </w:r>
            <w:r w:rsidRPr="006847F1">
              <w:rPr>
                <w:rFonts w:ascii="Times New Roman" w:hAnsi="Times New Roman"/>
                <w:lang w:val="en-GB"/>
              </w:rPr>
              <w:br/>
              <w:t>•  Exact quantity and type of fuel added to the vehicle’s fuel tank</w:t>
            </w:r>
          </w:p>
          <w:p w:rsidR="00F1195A" w:rsidRPr="006847F1" w:rsidRDefault="00F1195A" w:rsidP="00F1195A">
            <w:pPr>
              <w:snapToGrid w:val="0"/>
              <w:spacing w:after="0"/>
              <w:rPr>
                <w:rFonts w:ascii="Times New Roman" w:hAnsi="Times New Roman"/>
                <w:lang w:val="en-GB"/>
              </w:rPr>
            </w:pPr>
            <w:r w:rsidRPr="006847F1">
              <w:rPr>
                <w:rFonts w:ascii="Times New Roman" w:hAnsi="Times New Roman"/>
                <w:lang w:val="en-GB"/>
              </w:rPr>
              <w:t>•  Price per litre at the time of refuelling</w:t>
            </w:r>
          </w:p>
          <w:p w:rsidR="00F1195A" w:rsidRPr="006847F1" w:rsidRDefault="00F1195A" w:rsidP="00F1195A">
            <w:pPr>
              <w:spacing w:after="0"/>
              <w:rPr>
                <w:rFonts w:ascii="Times New Roman" w:hAnsi="Times New Roman"/>
                <w:lang w:val="en-GB"/>
              </w:rPr>
            </w:pPr>
            <w:r w:rsidRPr="006847F1">
              <w:rPr>
                <w:rFonts w:ascii="Times New Roman" w:hAnsi="Times New Roman"/>
                <w:lang w:val="en-GB"/>
              </w:rPr>
              <w:t>•  Registration number of refuelled SCRM vehicle,</w:t>
            </w:r>
          </w:p>
          <w:p w:rsidR="00F1195A" w:rsidRPr="003D1667" w:rsidRDefault="00F1195A" w:rsidP="00F1195A">
            <w:pPr>
              <w:snapToGrid w:val="0"/>
              <w:spacing w:after="0"/>
              <w:rPr>
                <w:rFonts w:ascii="Times New Roman" w:hAnsi="Times New Roman"/>
                <w:lang w:val="en-GB"/>
              </w:rPr>
            </w:pPr>
            <w:r w:rsidRPr="003D1667">
              <w:rPr>
                <w:rFonts w:ascii="Times New Roman" w:hAnsi="Times New Roman"/>
                <w:lang w:val="en-GB"/>
              </w:rPr>
              <w:t>•  Vehicle mileage at the moment of refuelling</w:t>
            </w:r>
          </w:p>
          <w:p w:rsidR="00F1195A" w:rsidRPr="003D1667" w:rsidRDefault="00F1195A" w:rsidP="00F1195A">
            <w:pPr>
              <w:snapToGrid w:val="0"/>
              <w:spacing w:after="0"/>
              <w:rPr>
                <w:rFonts w:ascii="Times New Roman" w:hAnsi="Times New Roman"/>
                <w:lang w:val="en-GB"/>
              </w:rPr>
            </w:pPr>
            <w:r w:rsidRPr="003D1667">
              <w:rPr>
                <w:rFonts w:ascii="Times New Roman" w:hAnsi="Times New Roman"/>
                <w:lang w:val="en-GB"/>
              </w:rPr>
              <w:t xml:space="preserve">c) Possibility of providing reports as .xls file </w:t>
            </w:r>
          </w:p>
          <w:p w:rsidR="00F1195A" w:rsidRPr="003D1667" w:rsidRDefault="00F1195A" w:rsidP="00F1195A">
            <w:pPr>
              <w:snapToGrid w:val="0"/>
              <w:spacing w:after="0"/>
              <w:rPr>
                <w:rFonts w:ascii="Times New Roman" w:hAnsi="Times New Roman"/>
                <w:lang w:val="en-GB"/>
              </w:rPr>
            </w:pPr>
            <w:r w:rsidRPr="003D1667">
              <w:rPr>
                <w:rFonts w:ascii="Times New Roman" w:hAnsi="Times New Roman"/>
                <w:lang w:val="en-GB"/>
              </w:rPr>
              <w:t>d) Possibility of providing reports upon request</w:t>
            </w:r>
          </w:p>
          <w:p w:rsidR="00301346" w:rsidRPr="00D10EF9" w:rsidRDefault="00F1195A" w:rsidP="00F1195A">
            <w:pPr>
              <w:rPr>
                <w:rFonts w:ascii="Times New Roman" w:hAnsi="Times New Roman"/>
                <w:b/>
                <w:highlight w:val="yellow"/>
                <w:lang w:val="en-GB"/>
              </w:rPr>
            </w:pPr>
            <w:r w:rsidRPr="003D1667">
              <w:rPr>
                <w:rFonts w:ascii="Times New Roman" w:hAnsi="Times New Roman"/>
                <w:lang w:val="en-GB"/>
              </w:rPr>
              <w:t>e</w:t>
            </w:r>
            <w:r w:rsidRPr="000D225A">
              <w:rPr>
                <w:rFonts w:ascii="Times New Roman" w:hAnsi="Times New Roman"/>
                <w:lang w:val="en-GB"/>
              </w:rPr>
              <w:t>) Enabling monthly limits on individual company /corporative debit fuel cards</w:t>
            </w:r>
          </w:p>
        </w:tc>
        <w:tc>
          <w:tcPr>
            <w:tcW w:w="4253" w:type="dxa"/>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vAlign w:val="center"/>
          </w:tcPr>
          <w:p w:rsidR="00301346" w:rsidRPr="00D10EF9" w:rsidRDefault="00301346" w:rsidP="00301346">
            <w:pPr>
              <w:rPr>
                <w:rFonts w:ascii="Times New Roman" w:hAnsi="Times New Roman"/>
                <w:b/>
                <w:highlight w:val="yellow"/>
                <w:lang w:val="en-GB"/>
              </w:rPr>
            </w:pPr>
          </w:p>
        </w:tc>
        <w:tc>
          <w:tcPr>
            <w:tcW w:w="4253" w:type="dxa"/>
          </w:tcPr>
          <w:p w:rsidR="00301346" w:rsidRPr="000726B9" w:rsidRDefault="00301346" w:rsidP="00301346">
            <w:pPr>
              <w:rPr>
                <w:rFonts w:ascii="Times New Roman" w:hAnsi="Times New Roman"/>
                <w:b/>
                <w:highlight w:val="green"/>
                <w:lang w:val="en-GB"/>
              </w:rPr>
            </w:pPr>
          </w:p>
        </w:tc>
        <w:tc>
          <w:tcPr>
            <w:tcW w:w="2835" w:type="dxa"/>
          </w:tcPr>
          <w:p w:rsidR="00301346" w:rsidRPr="000726B9" w:rsidRDefault="00301346" w:rsidP="00301346">
            <w:pPr>
              <w:rPr>
                <w:rFonts w:ascii="Times New Roman" w:hAnsi="Times New Roman"/>
                <w:b/>
                <w:highlight w:val="green"/>
                <w:lang w:val="en-GB"/>
              </w:rPr>
            </w:pPr>
          </w:p>
        </w:tc>
        <w:tc>
          <w:tcPr>
            <w:tcW w:w="1984" w:type="dxa"/>
          </w:tcPr>
          <w:p w:rsidR="00301346" w:rsidRPr="000726B9" w:rsidRDefault="00301346" w:rsidP="00301346">
            <w:pPr>
              <w:rPr>
                <w:rFonts w:ascii="Times New Roman" w:hAnsi="Times New Roman"/>
                <w:b/>
                <w:highlight w:val="green"/>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10"/>
      <w:footerReference w:type="first" r:id="rId11"/>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86F" w:rsidRDefault="00E3086F">
      <w:r>
        <w:separator/>
      </w:r>
    </w:p>
  </w:endnote>
  <w:endnote w:type="continuationSeparator" w:id="0">
    <w:p w:rsidR="00E3086F" w:rsidRDefault="00E3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2C3F97" w:rsidRDefault="002C3F97" w:rsidP="00B25580">
    <w:pPr>
      <w:pStyle w:val="Footer"/>
      <w:tabs>
        <w:tab w:val="clear" w:pos="4320"/>
        <w:tab w:val="clear" w:pos="8640"/>
        <w:tab w:val="right" w:pos="14317"/>
      </w:tabs>
      <w:spacing w:before="0" w:after="0"/>
      <w:rPr>
        <w:rFonts w:ascii="Times New Roman" w:hAnsi="Times New Roman"/>
        <w:b/>
        <w:sz w:val="18"/>
        <w:lang w:val="en-GB"/>
      </w:rPr>
    </w:pPr>
  </w:p>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4496B">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4496B">
      <w:rPr>
        <w:rFonts w:ascii="Times New Roman" w:hAnsi="Times New Roman"/>
        <w:noProof/>
        <w:sz w:val="18"/>
        <w:szCs w:val="18"/>
        <w:lang w:val="en-GB"/>
      </w:rPr>
      <w:t>6</w:t>
    </w:r>
    <w:r w:rsidR="00B25580" w:rsidRPr="00C4214C">
      <w:rPr>
        <w:rFonts w:ascii="Times New Roman" w:hAnsi="Times New Roman"/>
        <w:sz w:val="18"/>
        <w:szCs w:val="18"/>
      </w:rPr>
      <w:fldChar w:fldCharType="end"/>
    </w:r>
  </w:p>
  <w:p w:rsidR="00B25580" w:rsidRPr="00C4214C" w:rsidRDefault="00086653" w:rsidP="00086653">
    <w:pPr>
      <w:pStyle w:val="Footer"/>
      <w:tabs>
        <w:tab w:val="clear" w:pos="4320"/>
        <w:tab w:val="clear" w:pos="8640"/>
        <w:tab w:val="right" w:pos="14317"/>
      </w:tabs>
      <w:spacing w:before="0" w:after="0"/>
      <w:rPr>
        <w:rFonts w:ascii="Times New Roman" w:hAnsi="Times New Roman"/>
        <w:sz w:val="18"/>
        <w:szCs w:val="18"/>
        <w:lang w:val="en-GB"/>
      </w:rPr>
    </w:pPr>
    <w:r w:rsidRPr="00086653">
      <w:rPr>
        <w:rFonts w:ascii="Times New Roman" w:hAnsi="Times New Roman"/>
        <w:sz w:val="18"/>
        <w:szCs w:val="18"/>
      </w:rPr>
      <w:t>IPA/2022/435-352/</w:t>
    </w:r>
    <w:r w:rsidR="00105E43">
      <w:rPr>
        <w:rFonts w:ascii="Times New Roman" w:hAnsi="Times New Roman"/>
        <w:sz w:val="18"/>
        <w:szCs w:val="18"/>
      </w:rPr>
      <w:t>202</w:t>
    </w:r>
    <w:r w:rsidR="002C3F97">
      <w:rPr>
        <w:rFonts w:ascii="Times New Roman" w:hAnsi="Times New Roman"/>
        <w:sz w:val="18"/>
        <w:szCs w:val="18"/>
      </w:rPr>
      <w:t>5</w:t>
    </w:r>
    <w:r w:rsidR="00105E43">
      <w:rPr>
        <w:rFonts w:ascii="Times New Roman" w:hAnsi="Times New Roman"/>
        <w:sz w:val="18"/>
        <w:szCs w:val="18"/>
      </w:rPr>
      <w:t>-</w:t>
    </w:r>
    <w:r w:rsidR="002C3F97">
      <w:rPr>
        <w:rFonts w:ascii="Times New Roman" w:hAnsi="Times New Roman"/>
        <w:sz w:val="18"/>
        <w:szCs w:val="18"/>
      </w:rPr>
      <w:t>1</w:t>
    </w:r>
  </w:p>
  <w:p w:rsidR="00000000" w:rsidRDefault="00E3086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4496B">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4496B">
      <w:rPr>
        <w:rFonts w:ascii="Times New Roman" w:hAnsi="Times New Roman"/>
        <w:noProof/>
        <w:sz w:val="18"/>
        <w:szCs w:val="18"/>
        <w:lang w:val="en-GB"/>
      </w:rPr>
      <w:t>6</w:t>
    </w:r>
    <w:r w:rsidR="00B25580" w:rsidRPr="00C421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86F" w:rsidRDefault="00E3086F">
      <w:r>
        <w:separator/>
      </w:r>
    </w:p>
  </w:footnote>
  <w:footnote w:type="continuationSeparator" w:id="0">
    <w:p w:rsidR="00E3086F" w:rsidRDefault="00E308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41C"/>
    <w:rsid w:val="00041516"/>
    <w:rsid w:val="000417E2"/>
    <w:rsid w:val="00043159"/>
    <w:rsid w:val="00043277"/>
    <w:rsid w:val="00051DD7"/>
    <w:rsid w:val="00056EAA"/>
    <w:rsid w:val="00060758"/>
    <w:rsid w:val="00063C56"/>
    <w:rsid w:val="00065BB5"/>
    <w:rsid w:val="000714BB"/>
    <w:rsid w:val="000726B9"/>
    <w:rsid w:val="00085CA1"/>
    <w:rsid w:val="00086653"/>
    <w:rsid w:val="00087F35"/>
    <w:rsid w:val="0009286D"/>
    <w:rsid w:val="000A7A2C"/>
    <w:rsid w:val="000B1236"/>
    <w:rsid w:val="000B6140"/>
    <w:rsid w:val="000C4AE6"/>
    <w:rsid w:val="000C5D91"/>
    <w:rsid w:val="000D24E3"/>
    <w:rsid w:val="000D2B44"/>
    <w:rsid w:val="000D3B4B"/>
    <w:rsid w:val="000D40DB"/>
    <w:rsid w:val="000E7B75"/>
    <w:rsid w:val="000F3878"/>
    <w:rsid w:val="000F56D4"/>
    <w:rsid w:val="000F5F5F"/>
    <w:rsid w:val="00100E01"/>
    <w:rsid w:val="001021B0"/>
    <w:rsid w:val="00103348"/>
    <w:rsid w:val="00103913"/>
    <w:rsid w:val="00104DB7"/>
    <w:rsid w:val="00105E43"/>
    <w:rsid w:val="00111B28"/>
    <w:rsid w:val="00111DF7"/>
    <w:rsid w:val="00115916"/>
    <w:rsid w:val="00120421"/>
    <w:rsid w:val="001302A7"/>
    <w:rsid w:val="001337FD"/>
    <w:rsid w:val="00134C30"/>
    <w:rsid w:val="001368E8"/>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076D"/>
    <w:rsid w:val="002B0798"/>
    <w:rsid w:val="002B6401"/>
    <w:rsid w:val="002C2258"/>
    <w:rsid w:val="002C3F97"/>
    <w:rsid w:val="002C649A"/>
    <w:rsid w:val="002D2FC0"/>
    <w:rsid w:val="002F1222"/>
    <w:rsid w:val="00301346"/>
    <w:rsid w:val="0030264D"/>
    <w:rsid w:val="0030325F"/>
    <w:rsid w:val="0030381F"/>
    <w:rsid w:val="00322263"/>
    <w:rsid w:val="003308C6"/>
    <w:rsid w:val="0033158C"/>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423DA"/>
    <w:rsid w:val="0044496B"/>
    <w:rsid w:val="004554CB"/>
    <w:rsid w:val="004775D2"/>
    <w:rsid w:val="00483E26"/>
    <w:rsid w:val="00496BB4"/>
    <w:rsid w:val="004A7ED9"/>
    <w:rsid w:val="004C35B5"/>
    <w:rsid w:val="004C73B6"/>
    <w:rsid w:val="004D0651"/>
    <w:rsid w:val="004D2FD8"/>
    <w:rsid w:val="004F13A1"/>
    <w:rsid w:val="004F5C57"/>
    <w:rsid w:val="00501FF0"/>
    <w:rsid w:val="005108FD"/>
    <w:rsid w:val="0051610D"/>
    <w:rsid w:val="00525E85"/>
    <w:rsid w:val="00535826"/>
    <w:rsid w:val="00536B4A"/>
    <w:rsid w:val="00540384"/>
    <w:rsid w:val="00543F1F"/>
    <w:rsid w:val="005606E6"/>
    <w:rsid w:val="00575CB0"/>
    <w:rsid w:val="00577583"/>
    <w:rsid w:val="00591F23"/>
    <w:rsid w:val="00593550"/>
    <w:rsid w:val="005963D4"/>
    <w:rsid w:val="005B2018"/>
    <w:rsid w:val="005C0EA1"/>
    <w:rsid w:val="005C4176"/>
    <w:rsid w:val="005D2116"/>
    <w:rsid w:val="005D2717"/>
    <w:rsid w:val="005D3833"/>
    <w:rsid w:val="005D571C"/>
    <w:rsid w:val="005F3C51"/>
    <w:rsid w:val="005F62D0"/>
    <w:rsid w:val="0060210A"/>
    <w:rsid w:val="00622D13"/>
    <w:rsid w:val="00624454"/>
    <w:rsid w:val="006311FE"/>
    <w:rsid w:val="00633829"/>
    <w:rsid w:val="006408AC"/>
    <w:rsid w:val="0066519D"/>
    <w:rsid w:val="00670C3D"/>
    <w:rsid w:val="00672C5B"/>
    <w:rsid w:val="00677500"/>
    <w:rsid w:val="0068247E"/>
    <w:rsid w:val="00684176"/>
    <w:rsid w:val="00685CA2"/>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7F02B6"/>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0021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200B"/>
    <w:rsid w:val="00A039CA"/>
    <w:rsid w:val="00A47856"/>
    <w:rsid w:val="00A512C9"/>
    <w:rsid w:val="00A539E4"/>
    <w:rsid w:val="00A5762A"/>
    <w:rsid w:val="00A57B88"/>
    <w:rsid w:val="00A62073"/>
    <w:rsid w:val="00A63E3C"/>
    <w:rsid w:val="00A75650"/>
    <w:rsid w:val="00A7693B"/>
    <w:rsid w:val="00AA24A4"/>
    <w:rsid w:val="00AA4E3B"/>
    <w:rsid w:val="00AA51FA"/>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5112A"/>
    <w:rsid w:val="00B63280"/>
    <w:rsid w:val="00B70C0E"/>
    <w:rsid w:val="00B80DE8"/>
    <w:rsid w:val="00B85526"/>
    <w:rsid w:val="00B85BC2"/>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6685"/>
    <w:rsid w:val="00CD7F25"/>
    <w:rsid w:val="00CF6CFA"/>
    <w:rsid w:val="00CF7AAC"/>
    <w:rsid w:val="00D10EF9"/>
    <w:rsid w:val="00D24893"/>
    <w:rsid w:val="00D35E3C"/>
    <w:rsid w:val="00D43612"/>
    <w:rsid w:val="00D43C88"/>
    <w:rsid w:val="00D52CBF"/>
    <w:rsid w:val="00D576CA"/>
    <w:rsid w:val="00D66F04"/>
    <w:rsid w:val="00D673F1"/>
    <w:rsid w:val="00D75213"/>
    <w:rsid w:val="00D83D1B"/>
    <w:rsid w:val="00D979C6"/>
    <w:rsid w:val="00DA4AB8"/>
    <w:rsid w:val="00DA521F"/>
    <w:rsid w:val="00DB3C0F"/>
    <w:rsid w:val="00DC0120"/>
    <w:rsid w:val="00DC50E2"/>
    <w:rsid w:val="00DC54A0"/>
    <w:rsid w:val="00DC6C9C"/>
    <w:rsid w:val="00DD0624"/>
    <w:rsid w:val="00DD1BEE"/>
    <w:rsid w:val="00DF4621"/>
    <w:rsid w:val="00DF7327"/>
    <w:rsid w:val="00E076A3"/>
    <w:rsid w:val="00E10137"/>
    <w:rsid w:val="00E11385"/>
    <w:rsid w:val="00E13CDE"/>
    <w:rsid w:val="00E2190B"/>
    <w:rsid w:val="00E2682A"/>
    <w:rsid w:val="00E27678"/>
    <w:rsid w:val="00E3086F"/>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75F26"/>
    <w:rsid w:val="00E811F3"/>
    <w:rsid w:val="00E84AA4"/>
    <w:rsid w:val="00E85F91"/>
    <w:rsid w:val="00E87856"/>
    <w:rsid w:val="00E92A2A"/>
    <w:rsid w:val="00EB1E06"/>
    <w:rsid w:val="00EB4039"/>
    <w:rsid w:val="00EC33E4"/>
    <w:rsid w:val="00EC5BA6"/>
    <w:rsid w:val="00ED531E"/>
    <w:rsid w:val="00EE0ED9"/>
    <w:rsid w:val="00EE2E55"/>
    <w:rsid w:val="00F02006"/>
    <w:rsid w:val="00F0574A"/>
    <w:rsid w:val="00F1195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8A85B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729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Slobodan Karanovic</cp:lastModifiedBy>
  <cp:revision>33</cp:revision>
  <cp:lastPrinted>2012-09-24T10:13:00Z</cp:lastPrinted>
  <dcterms:created xsi:type="dcterms:W3CDTF">2018-12-18T11:40:00Z</dcterms:created>
  <dcterms:modified xsi:type="dcterms:W3CDTF">2025-07-09T11:37:00Z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